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E314"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Hållbarhetsprofilen Artikel 8 (</w:t>
      </w:r>
      <w:proofErr w:type="spellStart"/>
      <w:r w:rsidRPr="000C5207">
        <w:rPr>
          <w:rFonts w:ascii="Arial" w:eastAsia="Times New Roman" w:hAnsi="Arial" w:cs="Arial"/>
          <w:b/>
          <w:bCs/>
          <w:color w:val="000000"/>
          <w:lang w:eastAsia="sv-SE"/>
        </w:rPr>
        <w:t>Swesifs</w:t>
      </w:r>
      <w:proofErr w:type="spellEnd"/>
      <w:r w:rsidRPr="000C5207">
        <w:rPr>
          <w:rFonts w:ascii="Arial" w:eastAsia="Times New Roman" w:hAnsi="Arial" w:cs="Arial"/>
          <w:b/>
          <w:bCs/>
          <w:color w:val="000000"/>
          <w:lang w:eastAsia="sv-SE"/>
        </w:rPr>
        <w:t xml:space="preserve"> hållbarhetsdeklaration för fonder)</w:t>
      </w:r>
    </w:p>
    <w:p w14:paraId="704A3BA6"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6ADF30C9"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Fondbeskrivning: Enligt SFDR (</w:t>
      </w:r>
      <w:proofErr w:type="spellStart"/>
      <w:r w:rsidRPr="000C5207">
        <w:rPr>
          <w:rFonts w:ascii="Arial" w:eastAsia="Times New Roman" w:hAnsi="Arial" w:cs="Arial"/>
          <w:b/>
          <w:bCs/>
          <w:color w:val="000000"/>
          <w:lang w:eastAsia="sv-SE"/>
        </w:rPr>
        <w:t>Sustainable</w:t>
      </w:r>
      <w:proofErr w:type="spellEnd"/>
      <w:r w:rsidRPr="000C5207">
        <w:rPr>
          <w:rFonts w:ascii="Arial" w:eastAsia="Times New Roman" w:hAnsi="Arial" w:cs="Arial"/>
          <w:b/>
          <w:bCs/>
          <w:color w:val="000000"/>
          <w:lang w:eastAsia="sv-SE"/>
        </w:rPr>
        <w:t xml:space="preserve"> </w:t>
      </w:r>
      <w:proofErr w:type="spellStart"/>
      <w:r w:rsidRPr="000C5207">
        <w:rPr>
          <w:rFonts w:ascii="Arial" w:eastAsia="Times New Roman" w:hAnsi="Arial" w:cs="Arial"/>
          <w:b/>
          <w:bCs/>
          <w:color w:val="000000"/>
          <w:lang w:eastAsia="sv-SE"/>
        </w:rPr>
        <w:t>Finance</w:t>
      </w:r>
      <w:proofErr w:type="spellEnd"/>
      <w:r w:rsidRPr="000C5207">
        <w:rPr>
          <w:rFonts w:ascii="Arial" w:eastAsia="Times New Roman" w:hAnsi="Arial" w:cs="Arial"/>
          <w:b/>
          <w:bCs/>
          <w:color w:val="000000"/>
          <w:lang w:eastAsia="sv-SE"/>
        </w:rPr>
        <w:t xml:space="preserve"> </w:t>
      </w:r>
      <w:proofErr w:type="spellStart"/>
      <w:r w:rsidRPr="000C5207">
        <w:rPr>
          <w:rFonts w:ascii="Arial" w:eastAsia="Times New Roman" w:hAnsi="Arial" w:cs="Arial"/>
          <w:b/>
          <w:bCs/>
          <w:color w:val="000000"/>
          <w:lang w:eastAsia="sv-SE"/>
        </w:rPr>
        <w:t>Disclosure</w:t>
      </w:r>
      <w:proofErr w:type="spellEnd"/>
      <w:r w:rsidRPr="000C5207">
        <w:rPr>
          <w:rFonts w:ascii="Arial" w:eastAsia="Times New Roman" w:hAnsi="Arial" w:cs="Arial"/>
          <w:b/>
          <w:bCs/>
          <w:color w:val="000000"/>
          <w:lang w:eastAsia="sv-SE"/>
        </w:rPr>
        <w:t xml:space="preserve"> </w:t>
      </w:r>
      <w:proofErr w:type="spellStart"/>
      <w:r w:rsidRPr="000C5207">
        <w:rPr>
          <w:rFonts w:ascii="Arial" w:eastAsia="Times New Roman" w:hAnsi="Arial" w:cs="Arial"/>
          <w:b/>
          <w:bCs/>
          <w:color w:val="000000"/>
          <w:lang w:eastAsia="sv-SE"/>
        </w:rPr>
        <w:t>Regulation</w:t>
      </w:r>
      <w:proofErr w:type="spellEnd"/>
      <w:r w:rsidRPr="000C5207">
        <w:rPr>
          <w:rFonts w:ascii="Arial" w:eastAsia="Times New Roman" w:hAnsi="Arial" w:cs="Arial"/>
          <w:b/>
          <w:bCs/>
          <w:color w:val="000000"/>
          <w:lang w:eastAsia="sv-SE"/>
        </w:rPr>
        <w:t>) ska hållbarhetsrelaterade upplysningar lämnas inom sektorn för finansiella tjänster.</w:t>
      </w:r>
    </w:p>
    <w:p w14:paraId="0F5F7500"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5C183CB7"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En fond som definieras som artikel 8 i EU:s bestämmelse kring hållbarhetsrelaterade upplysningar ska inkludera hållbarhetsrisker som främjar miljörelaterade och/eller sociala egenskaper i beslutsprocessen kring investering. </w:t>
      </w:r>
    </w:p>
    <w:p w14:paraId="28DE2FC5"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6EDB52A2"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Fondens investeringar kan, men behöver inte, investera i bolag som uppfyller Taxonomiförordningens kriterier för miljömässigt hållbara ekonomiska verksamheter enligt.</w:t>
      </w:r>
    </w:p>
    <w:p w14:paraId="6EFE0849" w14:textId="77777777" w:rsidR="000C5207" w:rsidRPr="000C5207" w:rsidRDefault="000C5207" w:rsidP="000C5207">
      <w:pPr>
        <w:spacing w:after="24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0C5207" w:rsidRPr="000C5207" w14:paraId="5CB97940"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0C70A" w14:textId="77777777" w:rsidR="000C5207" w:rsidRPr="000C5207" w:rsidRDefault="000C5207" w:rsidP="000C5207">
            <w:pPr>
              <w:spacing w:after="0" w:line="240" w:lineRule="auto"/>
              <w:jc w:val="right"/>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Senast uppdaterad 2021-09-20</w:t>
            </w:r>
          </w:p>
          <w:p w14:paraId="2730A17A" w14:textId="27E3EDDE" w:rsidR="000C5207" w:rsidRPr="000C5207" w:rsidRDefault="00AB34BB" w:rsidP="000C5207">
            <w:pPr>
              <w:spacing w:after="0" w:line="240" w:lineRule="auto"/>
              <w:rPr>
                <w:rFonts w:ascii="Times New Roman" w:eastAsia="Times New Roman" w:hAnsi="Times New Roman" w:cs="Times New Roman"/>
                <w:sz w:val="24"/>
                <w:szCs w:val="24"/>
                <w:lang w:eastAsia="sv-SE"/>
              </w:rPr>
            </w:pPr>
            <w:r>
              <w:rPr>
                <w:rFonts w:ascii="Arial" w:eastAsia="Times New Roman" w:hAnsi="Arial" w:cs="Arial"/>
                <w:b/>
                <w:bCs/>
                <w:color w:val="000000"/>
                <w:lang w:eastAsia="sv-SE"/>
              </w:rPr>
              <w:t>Carnegie Sverigefond</w:t>
            </w:r>
          </w:p>
          <w:p w14:paraId="0FAF8CCE"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roofErr w:type="spellStart"/>
            <w:r w:rsidRPr="000C5207">
              <w:rPr>
                <w:rFonts w:ascii="Arial" w:eastAsia="Times New Roman" w:hAnsi="Arial" w:cs="Arial"/>
                <w:color w:val="000000"/>
                <w:lang w:eastAsia="sv-SE"/>
              </w:rPr>
              <w:t>Disclaimer</w:t>
            </w:r>
            <w:proofErr w:type="spellEnd"/>
            <w:r w:rsidRPr="000C5207">
              <w:rPr>
                <w:rFonts w:ascii="Arial" w:eastAsia="Times New Roman" w:hAnsi="Arial" w:cs="Arial"/>
                <w:color w:val="000000"/>
                <w:lang w:eastAsia="sv-SE"/>
              </w:rPr>
              <w:t>/friskrivning:</w:t>
            </w:r>
            <w:r w:rsidRPr="000C5207">
              <w:rPr>
                <w:rFonts w:ascii="Arial" w:eastAsia="Times New Roman" w:hAnsi="Arial" w:cs="Arial"/>
                <w:b/>
                <w:bCs/>
                <w:color w:val="000000"/>
                <w:lang w:eastAsia="sv-SE"/>
              </w:rPr>
              <w:t xml:space="preserve"> </w:t>
            </w:r>
            <w:r w:rsidRPr="000C5207">
              <w:rPr>
                <w:rFonts w:ascii="Arial" w:eastAsia="Times New Roman" w:hAnsi="Arial" w:cs="Arial"/>
                <w:color w:val="000000"/>
                <w:lang w:eastAsia="sv-SE"/>
              </w:rPr>
              <w:t xml:space="preserve">Hållbarhetsprofilen är inte ett juridiskt dokument och har inte tagits fram i marknadsföringssyfte. För fondens juridiska information enligt SFDR och </w:t>
            </w:r>
            <w:proofErr w:type="spellStart"/>
            <w:r w:rsidRPr="000C5207">
              <w:rPr>
                <w:rFonts w:ascii="Arial" w:eastAsia="Times New Roman" w:hAnsi="Arial" w:cs="Arial"/>
                <w:color w:val="000000"/>
                <w:lang w:eastAsia="sv-SE"/>
              </w:rPr>
              <w:t>Taxonomiförodrningen</w:t>
            </w:r>
            <w:proofErr w:type="spellEnd"/>
            <w:r w:rsidRPr="000C5207">
              <w:rPr>
                <w:rFonts w:ascii="Arial" w:eastAsia="Times New Roman" w:hAnsi="Arial" w:cs="Arial"/>
                <w:color w:val="000000"/>
                <w:lang w:eastAsia="sv-SE"/>
              </w:rPr>
              <w:t>, vänligen besök fondbolagets hemsida. </w:t>
            </w:r>
          </w:p>
        </w:tc>
      </w:tr>
    </w:tbl>
    <w:p w14:paraId="526D71DA"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0C5207" w:rsidRPr="000C5207" w14:paraId="28D461E3"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59DB9"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Beskrivning av fonden</w:t>
            </w:r>
          </w:p>
          <w:p w14:paraId="1170A0C5"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Fonden är en finansiell produkt som tar hänsyn till hållbarhetsrisker i beslutsprocessen vid investeringar samt främjar miljörelaterade och/eller sociala egenskaper. Enligt SFDR och Taxonomiförordningen behöver fonden inte ha hållbara investeringar som mål.</w:t>
            </w:r>
          </w:p>
        </w:tc>
      </w:tr>
    </w:tbl>
    <w:p w14:paraId="76BBFD68"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0C5207" w:rsidRPr="000C5207" w14:paraId="4399C492"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5649C"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Hållbarhetsinformation</w:t>
            </w:r>
          </w:p>
          <w:p w14:paraId="752188D0"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228A9318"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Den här fonden främjar miljörelaterade och/eller sociala egenskaper, men har inte hållbara investeringar som mål: </w:t>
            </w:r>
          </w:p>
          <w:p w14:paraId="76824C7D" w14:textId="77777777" w:rsidR="000C5207" w:rsidRPr="000C5207" w:rsidRDefault="000C5207" w:rsidP="000C5207">
            <w:pPr>
              <w:numPr>
                <w:ilvl w:val="0"/>
                <w:numId w:val="1"/>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Den investerar delvis i hållbara investeringar </w:t>
            </w:r>
          </w:p>
          <w:p w14:paraId="7FBD4062" w14:textId="77777777" w:rsidR="000C5207" w:rsidRPr="000C5207" w:rsidRDefault="000C5207" w:rsidP="000C5207">
            <w:pPr>
              <w:numPr>
                <w:ilvl w:val="0"/>
                <w:numId w:val="1"/>
              </w:numPr>
              <w:spacing w:after="0" w:line="240" w:lineRule="auto"/>
              <w:ind w:left="1091"/>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       I verksamheter som är klassificerade som miljömässigt hållbara enligt EU:s Taxonomi </w:t>
            </w:r>
          </w:p>
          <w:p w14:paraId="1A5BDBE0" w14:textId="77777777" w:rsidR="000C5207" w:rsidRPr="000C5207" w:rsidRDefault="000C5207" w:rsidP="000C5207">
            <w:pPr>
              <w:numPr>
                <w:ilvl w:val="0"/>
                <w:numId w:val="1"/>
              </w:numPr>
              <w:spacing w:after="0" w:line="240" w:lineRule="auto"/>
              <w:ind w:left="1091"/>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       I verksamheter som inte är klassificerade som miljömässigt hållbara enligt EU:s Taxonomi</w:t>
            </w:r>
          </w:p>
          <w:p w14:paraId="510EE5FC"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c>
      </w:tr>
      <w:tr w:rsidR="000C5207" w:rsidRPr="000C5207" w14:paraId="1B5A03F4"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6EE93"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Vilka miljörelaterade och/eller sociala egenskaper främjas av denna fond?</w:t>
            </w:r>
          </w:p>
          <w:p w14:paraId="73CB7FED"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60F7911F"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Förutom bolagsstyrningsegenskaper (</w:t>
            </w:r>
            <w:proofErr w:type="gramStart"/>
            <w:r w:rsidRPr="000C5207">
              <w:rPr>
                <w:rFonts w:ascii="Arial" w:eastAsia="Times New Roman" w:hAnsi="Arial" w:cs="Arial"/>
                <w:color w:val="000000"/>
                <w:lang w:eastAsia="sv-SE"/>
              </w:rPr>
              <w:t>t.ex.</w:t>
            </w:r>
            <w:proofErr w:type="gramEnd"/>
            <w:r w:rsidRPr="000C5207">
              <w:rPr>
                <w:rFonts w:ascii="Arial" w:eastAsia="Times New Roman" w:hAnsi="Arial" w:cs="Arial"/>
                <w:color w:val="000000"/>
                <w:lang w:eastAsia="sv-SE"/>
              </w:rPr>
              <w:t xml:space="preserve"> aktieägarrättigheter, frågor som rör ersättning till ledande befattningshavare och antikorruptionsarbete) främjas följande egenskaper:</w:t>
            </w:r>
          </w:p>
          <w:p w14:paraId="14872D01"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FF0000"/>
                <w:lang w:eastAsia="sv-SE"/>
              </w:rPr>
              <w:t> </w:t>
            </w:r>
          </w:p>
          <w:p w14:paraId="20D63191" w14:textId="1C5003DC" w:rsidR="000C5207" w:rsidRPr="000C5207" w:rsidRDefault="000C5207" w:rsidP="000C5207">
            <w:pPr>
              <w:numPr>
                <w:ilvl w:val="0"/>
                <w:numId w:val="2"/>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Miljörelaterade egenskaper (</w:t>
            </w:r>
            <w:proofErr w:type="gramStart"/>
            <w:r w:rsidRPr="000C5207">
              <w:rPr>
                <w:rFonts w:ascii="Arial" w:eastAsia="Times New Roman" w:hAnsi="Arial" w:cs="Arial"/>
                <w:color w:val="000000"/>
                <w:lang w:eastAsia="sv-SE"/>
              </w:rPr>
              <w:t>t.ex.</w:t>
            </w:r>
            <w:proofErr w:type="gramEnd"/>
            <w:r w:rsidRPr="000C5207">
              <w:rPr>
                <w:rFonts w:ascii="Arial" w:eastAsia="Times New Roman" w:hAnsi="Arial" w:cs="Arial"/>
                <w:color w:val="000000"/>
                <w:lang w:eastAsia="sv-SE"/>
              </w:rPr>
              <w:t xml:space="preserve"> företagens miljö- och klimatpåverkan). </w:t>
            </w:r>
            <w:r w:rsidRPr="000C5207">
              <w:rPr>
                <w:rFonts w:ascii="Arial" w:eastAsia="Times New Roman" w:hAnsi="Arial" w:cs="Arial"/>
                <w:color w:val="000000"/>
                <w:lang w:eastAsia="sv-SE"/>
              </w:rPr>
              <w:br/>
              <w:t>Fondbolagets kommentar:</w:t>
            </w:r>
            <w:r w:rsidRPr="000C5207">
              <w:rPr>
                <w:rFonts w:ascii="Arial" w:eastAsia="Times New Roman" w:hAnsi="Arial" w:cs="Arial"/>
                <w:color w:val="000000"/>
                <w:lang w:eastAsia="sv-SE"/>
              </w:rPr>
              <w:br/>
            </w:r>
          </w:p>
          <w:p w14:paraId="543855FA" w14:textId="77777777" w:rsidR="000C5207" w:rsidRPr="000C5207" w:rsidRDefault="000C5207" w:rsidP="000C5207">
            <w:pPr>
              <w:numPr>
                <w:ilvl w:val="0"/>
                <w:numId w:val="2"/>
              </w:numPr>
              <w:spacing w:after="0" w:line="240" w:lineRule="auto"/>
              <w:textAlignment w:val="baseline"/>
              <w:rPr>
                <w:rFonts w:ascii="Arial" w:eastAsia="Times New Roman" w:hAnsi="Arial" w:cs="Arial"/>
                <w:i/>
                <w:iCs/>
                <w:color w:val="000000"/>
                <w:lang w:eastAsia="sv-SE"/>
              </w:rPr>
            </w:pPr>
            <w:r w:rsidRPr="000C5207">
              <w:rPr>
                <w:rFonts w:ascii="Arial" w:eastAsia="Times New Roman" w:hAnsi="Arial" w:cs="Arial"/>
                <w:color w:val="000000"/>
                <w:lang w:eastAsia="sv-SE"/>
              </w:rPr>
              <w:t>Sociala egenskaper (</w:t>
            </w:r>
            <w:proofErr w:type="gramStart"/>
            <w:r w:rsidRPr="000C5207">
              <w:rPr>
                <w:rFonts w:ascii="Arial" w:eastAsia="Times New Roman" w:hAnsi="Arial" w:cs="Arial"/>
                <w:color w:val="000000"/>
                <w:lang w:eastAsia="sv-SE"/>
              </w:rPr>
              <w:t>t.ex.</w:t>
            </w:r>
            <w:proofErr w:type="gramEnd"/>
            <w:r w:rsidRPr="000C5207">
              <w:rPr>
                <w:rFonts w:ascii="Arial" w:eastAsia="Times New Roman" w:hAnsi="Arial" w:cs="Arial"/>
                <w:color w:val="000000"/>
                <w:lang w:eastAsia="sv-SE"/>
              </w:rPr>
              <w:t xml:space="preserve"> mänskliga rättigheter, arbetstagares rättigheter och lika möjligheter).</w:t>
            </w:r>
          </w:p>
          <w:p w14:paraId="10472A8B"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1537DE5B" w14:textId="77777777" w:rsidR="000C5207" w:rsidRPr="000C5207" w:rsidRDefault="000C5207" w:rsidP="000C5207">
            <w:pPr>
              <w:spacing w:after="240" w:line="240" w:lineRule="auto"/>
              <w:rPr>
                <w:rFonts w:ascii="Times New Roman" w:eastAsia="Times New Roman" w:hAnsi="Times New Roman" w:cs="Times New Roman"/>
                <w:sz w:val="24"/>
                <w:szCs w:val="24"/>
                <w:lang w:eastAsia="sv-SE"/>
              </w:rPr>
            </w:pPr>
          </w:p>
        </w:tc>
      </w:tr>
      <w:tr w:rsidR="000C5207" w:rsidRPr="000C5207" w14:paraId="038A15CB"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678A3"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7B5EEC9D"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Vad är den planerade fördelningen av investeringar för den här fonden? </w:t>
            </w:r>
          </w:p>
          <w:p w14:paraId="03A8365B"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6739E326" w14:textId="35AD797F"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I vilken utsträckning kommer fonden att ha investeringar som främjar miljörelaterade och sociala egenskaper (procent av samtliga investeringar som valts för fonden)? </w:t>
            </w:r>
            <w:r w:rsidR="00262123">
              <w:rPr>
                <w:rFonts w:ascii="Arial" w:eastAsia="Times New Roman" w:hAnsi="Arial" w:cs="Arial"/>
                <w:color w:val="000000"/>
                <w:lang w:eastAsia="sv-SE"/>
              </w:rPr>
              <w:t xml:space="preserve">Samtliga investeringar i fonden främjar miljörelaterade eller sociala egenskaper. </w:t>
            </w:r>
          </w:p>
          <w:p w14:paraId="32CC1B72"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5B45BACE"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Om tillämpligt: i vilken utsträckning kommer fonden att ha hållbara investeringar som är </w:t>
            </w:r>
          </w:p>
          <w:p w14:paraId="1D1C5B3D"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 klassificerade som hållbara enligt EU:s taxonomi, eller</w:t>
            </w:r>
          </w:p>
          <w:p w14:paraId="63E4E3F0" w14:textId="18B5B330" w:rsidR="000C5207" w:rsidRDefault="000C5207" w:rsidP="000C5207">
            <w:pPr>
              <w:spacing w:after="0" w:line="240" w:lineRule="auto"/>
              <w:rPr>
                <w:rFonts w:ascii="Arial" w:eastAsia="Times New Roman" w:hAnsi="Arial" w:cs="Arial"/>
                <w:color w:val="000000"/>
                <w:lang w:eastAsia="sv-SE"/>
              </w:rPr>
            </w:pPr>
            <w:r w:rsidRPr="000C5207">
              <w:rPr>
                <w:rFonts w:ascii="Arial" w:eastAsia="Times New Roman" w:hAnsi="Arial" w:cs="Arial"/>
                <w:color w:val="000000"/>
                <w:lang w:eastAsia="sv-SE"/>
              </w:rPr>
              <w:lastRenderedPageBreak/>
              <w:t>– hållbara men inte är klassificerade som hållbara enligt EU:s taxonomi? </w:t>
            </w:r>
          </w:p>
          <w:p w14:paraId="0DA807DD" w14:textId="26AEBC69" w:rsidR="00154988" w:rsidRPr="004F7055" w:rsidRDefault="00154988" w:rsidP="004F7055">
            <w:pPr>
              <w:spacing w:after="0" w:line="240" w:lineRule="auto"/>
              <w:ind w:left="720"/>
            </w:pPr>
            <w:r w:rsidRPr="004F7055">
              <w:t>Fonden har</w:t>
            </w:r>
            <w:r w:rsidR="00BB7F49">
              <w:t xml:space="preserve"> ännu</w:t>
            </w:r>
            <w:r w:rsidRPr="004F7055">
              <w:t xml:space="preserve"> inte fastslagit </w:t>
            </w:r>
            <w:r w:rsidR="000B7C48" w:rsidRPr="004F7055">
              <w:t xml:space="preserve">i vilken utsträckning detta kommer att ske. </w:t>
            </w:r>
          </w:p>
          <w:p w14:paraId="5F09518A"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c>
      </w:tr>
      <w:tr w:rsidR="000C5207" w:rsidRPr="000C5207" w14:paraId="77C210EF"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2CD7B"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lastRenderedPageBreak/>
              <w:t>Om fonden investerar i hållbara investeringar enligt EU:s taxonomi, till vilket miljömål bidrar de hållbara investeringarna till och hur säkerställer fonden att den inte orsakar betydande skada för något av de övriga miljömålen?</w:t>
            </w:r>
          </w:p>
          <w:p w14:paraId="4641E57D" w14:textId="77777777" w:rsidR="000C5207" w:rsidRPr="000C5207" w:rsidRDefault="000C5207" w:rsidP="000C5207">
            <w:pPr>
              <w:numPr>
                <w:ilvl w:val="0"/>
                <w:numId w:val="3"/>
              </w:numPr>
              <w:shd w:val="clear" w:color="auto" w:fill="FFFFFF"/>
              <w:spacing w:after="0" w:line="240" w:lineRule="auto"/>
              <w:ind w:left="360"/>
              <w:textAlignment w:val="baseline"/>
              <w:rPr>
                <w:rFonts w:ascii="Arial" w:eastAsia="Times New Roman" w:hAnsi="Arial" w:cs="Arial"/>
                <w:color w:val="404040"/>
                <w:lang w:eastAsia="sv-SE"/>
              </w:rPr>
            </w:pPr>
            <w:r w:rsidRPr="000C5207">
              <w:rPr>
                <w:rFonts w:ascii="Arial" w:eastAsia="Times New Roman" w:hAnsi="Arial" w:cs="Arial"/>
                <w:color w:val="404040"/>
                <w:lang w:eastAsia="sv-SE"/>
              </w:rPr>
              <w:t>Begränsning av klimatförändringar</w:t>
            </w:r>
          </w:p>
          <w:p w14:paraId="690DC546" w14:textId="77777777" w:rsidR="000C5207" w:rsidRPr="000C5207" w:rsidRDefault="000C5207" w:rsidP="000C5207">
            <w:pPr>
              <w:numPr>
                <w:ilvl w:val="0"/>
                <w:numId w:val="3"/>
              </w:numPr>
              <w:shd w:val="clear" w:color="auto" w:fill="FFFFFF"/>
              <w:spacing w:after="0" w:line="240" w:lineRule="auto"/>
              <w:ind w:left="360"/>
              <w:textAlignment w:val="baseline"/>
              <w:rPr>
                <w:rFonts w:ascii="Arial" w:eastAsia="Times New Roman" w:hAnsi="Arial" w:cs="Arial"/>
                <w:color w:val="404040"/>
                <w:lang w:eastAsia="sv-SE"/>
              </w:rPr>
            </w:pPr>
            <w:r w:rsidRPr="000C5207">
              <w:rPr>
                <w:rFonts w:ascii="Arial" w:eastAsia="Times New Roman" w:hAnsi="Arial" w:cs="Arial"/>
                <w:color w:val="404040"/>
                <w:lang w:eastAsia="sv-SE"/>
              </w:rPr>
              <w:t>Anpassning till klimatförändringar</w:t>
            </w:r>
          </w:p>
          <w:p w14:paraId="5055F89A" w14:textId="77777777" w:rsidR="000C5207" w:rsidRPr="000C5207" w:rsidRDefault="000C5207" w:rsidP="000C5207">
            <w:pPr>
              <w:numPr>
                <w:ilvl w:val="0"/>
                <w:numId w:val="3"/>
              </w:numPr>
              <w:shd w:val="clear" w:color="auto" w:fill="FFFFFF"/>
              <w:spacing w:after="0" w:line="240" w:lineRule="auto"/>
              <w:ind w:left="360"/>
              <w:textAlignment w:val="baseline"/>
              <w:rPr>
                <w:rFonts w:ascii="Arial" w:eastAsia="Times New Roman" w:hAnsi="Arial" w:cs="Arial"/>
                <w:color w:val="404040"/>
                <w:lang w:eastAsia="sv-SE"/>
              </w:rPr>
            </w:pPr>
            <w:r w:rsidRPr="000C5207">
              <w:rPr>
                <w:rFonts w:ascii="Arial" w:eastAsia="Times New Roman" w:hAnsi="Arial" w:cs="Arial"/>
                <w:color w:val="404040"/>
                <w:lang w:eastAsia="sv-SE"/>
              </w:rPr>
              <w:t>Hållbar användning och skydd av vatten och marina resurser</w:t>
            </w:r>
          </w:p>
          <w:p w14:paraId="0D2F148C" w14:textId="77777777" w:rsidR="000C5207" w:rsidRPr="000C5207" w:rsidRDefault="000C5207" w:rsidP="000C5207">
            <w:pPr>
              <w:numPr>
                <w:ilvl w:val="0"/>
                <w:numId w:val="3"/>
              </w:numPr>
              <w:shd w:val="clear" w:color="auto" w:fill="FFFFFF"/>
              <w:spacing w:after="0" w:line="240" w:lineRule="auto"/>
              <w:ind w:left="360"/>
              <w:textAlignment w:val="baseline"/>
              <w:rPr>
                <w:rFonts w:ascii="Arial" w:eastAsia="Times New Roman" w:hAnsi="Arial" w:cs="Arial"/>
                <w:color w:val="404040"/>
                <w:lang w:eastAsia="sv-SE"/>
              </w:rPr>
            </w:pPr>
            <w:r w:rsidRPr="000C5207">
              <w:rPr>
                <w:rFonts w:ascii="Arial" w:eastAsia="Times New Roman" w:hAnsi="Arial" w:cs="Arial"/>
                <w:color w:val="404040"/>
                <w:lang w:eastAsia="sv-SE"/>
              </w:rPr>
              <w:t>Omställning till en cirkulär ekonomi</w:t>
            </w:r>
          </w:p>
          <w:p w14:paraId="62340836" w14:textId="77777777" w:rsidR="000C5207" w:rsidRPr="000C5207" w:rsidRDefault="000C5207" w:rsidP="000C5207">
            <w:pPr>
              <w:numPr>
                <w:ilvl w:val="0"/>
                <w:numId w:val="3"/>
              </w:numPr>
              <w:shd w:val="clear" w:color="auto" w:fill="FFFFFF"/>
              <w:spacing w:after="0" w:line="240" w:lineRule="auto"/>
              <w:ind w:left="360"/>
              <w:textAlignment w:val="baseline"/>
              <w:rPr>
                <w:rFonts w:ascii="Arial" w:eastAsia="Times New Roman" w:hAnsi="Arial" w:cs="Arial"/>
                <w:color w:val="404040"/>
                <w:lang w:eastAsia="sv-SE"/>
              </w:rPr>
            </w:pPr>
            <w:r w:rsidRPr="000C5207">
              <w:rPr>
                <w:rFonts w:ascii="Arial" w:eastAsia="Times New Roman" w:hAnsi="Arial" w:cs="Arial"/>
                <w:color w:val="404040"/>
                <w:lang w:eastAsia="sv-SE"/>
              </w:rPr>
              <w:t>Förebyggande och begränsning av miljöföroreningar</w:t>
            </w:r>
          </w:p>
          <w:p w14:paraId="012BF928" w14:textId="77777777" w:rsidR="000C5207" w:rsidRPr="000C5207" w:rsidRDefault="000C5207" w:rsidP="000C5207">
            <w:pPr>
              <w:numPr>
                <w:ilvl w:val="0"/>
                <w:numId w:val="3"/>
              </w:numPr>
              <w:shd w:val="clear" w:color="auto" w:fill="FFFFFF"/>
              <w:spacing w:after="0" w:line="240" w:lineRule="auto"/>
              <w:ind w:left="360"/>
              <w:textAlignment w:val="baseline"/>
              <w:rPr>
                <w:rFonts w:ascii="Arial" w:eastAsia="Times New Roman" w:hAnsi="Arial" w:cs="Arial"/>
                <w:color w:val="404040"/>
                <w:lang w:eastAsia="sv-SE"/>
              </w:rPr>
            </w:pPr>
            <w:r w:rsidRPr="000C5207">
              <w:rPr>
                <w:rFonts w:ascii="Arial" w:eastAsia="Times New Roman" w:hAnsi="Arial" w:cs="Arial"/>
                <w:color w:val="404040"/>
                <w:lang w:eastAsia="sv-SE"/>
              </w:rPr>
              <w:t>Skydd och återställande av biologisk mångfald och ekosystem</w:t>
            </w:r>
          </w:p>
          <w:p w14:paraId="0F021879" w14:textId="72B5E1BB"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 xml:space="preserve">Vad är den minsta </w:t>
            </w:r>
            <w:r w:rsidR="00502942">
              <w:rPr>
                <w:rFonts w:ascii="Arial" w:eastAsia="Times New Roman" w:hAnsi="Arial" w:cs="Arial"/>
                <w:b/>
                <w:bCs/>
                <w:color w:val="000000"/>
                <w:lang w:eastAsia="sv-SE"/>
              </w:rPr>
              <w:t xml:space="preserve">planerade </w:t>
            </w:r>
            <w:r w:rsidRPr="000C5207">
              <w:rPr>
                <w:rFonts w:ascii="Arial" w:eastAsia="Times New Roman" w:hAnsi="Arial" w:cs="Arial"/>
                <w:b/>
                <w:bCs/>
                <w:color w:val="000000"/>
                <w:lang w:eastAsia="sv-SE"/>
              </w:rPr>
              <w:t>andelen av investeringar som uppfyller kraven på att vara miljömässigt hållbara i enlighet med EU:s taxonomi?</w:t>
            </w:r>
          </w:p>
          <w:p w14:paraId="13217123" w14:textId="77777777" w:rsidR="00C04CE9" w:rsidRDefault="00C04CE9" w:rsidP="00C04CE9">
            <w:pPr>
              <w:spacing w:after="0" w:line="240" w:lineRule="auto"/>
              <w:rPr>
                <w:rFonts w:ascii="Times New Roman" w:eastAsia="Times New Roman" w:hAnsi="Times New Roman" w:cs="Times New Roman"/>
                <w:sz w:val="24"/>
                <w:szCs w:val="24"/>
                <w:lang w:eastAsia="sv-SE"/>
              </w:rPr>
            </w:pPr>
            <w:r>
              <w:t>EU-taxonomin är ett klassifikationssystem som syftar till att etablera gemensamma kriterier för miljömässigt hållbara ekonomiska verksamheter. Enligt regelverket ska det för varje fond redovisas hur stor del av fondens investeringar som är förenliga med taxonomin. Taxonomin håller på att utvecklas och kriterier för samtliga miljömål är ännu inte klara. Det saknas också en fastslagen beräkningsmodell för hur stor andel av fondens investeringar som är förenliga med taxonomin. De bolag som fonden investerar i har ännu inte börjat rapportera i vilken utsträckning som deras verksamhet är förenlig med EU-taxonomin. Därför bedömer fondbolaget att det i dagsläget inte är möjligt att lämna tillförlitliga uppgifter om hur stor andel av fondens investeringar som är förenliga med taxonomin. I regelverket finns en princip, ”orsaka inte betydande skada”, som innebär att investeringar som bidrar till ett hållbarhetsmål samtidigt inte får innebära betydande skada för något annat hållbarhetsmål. Principen ”orsaka inte betydande skada” är endast tillämplig på den del av fonden som utgörs av investeringar som antingen räknas som hållbara enligt förordningen om hållbarhetsrelaterade upplysningar eller enligt EU-taxonomin. Den återstående delen av denna fond har underliggande investeringar som inte beaktar EU-kriterierna för miljömässigt hållbara ekonomiska verksamheter.</w:t>
            </w:r>
          </w:p>
          <w:p w14:paraId="1CE77D63" w14:textId="77777777" w:rsidR="000C5207" w:rsidRPr="000C5207" w:rsidRDefault="000C5207" w:rsidP="00C04CE9">
            <w:pPr>
              <w:spacing w:after="0" w:line="240" w:lineRule="auto"/>
              <w:rPr>
                <w:rFonts w:ascii="Times New Roman" w:eastAsia="Times New Roman" w:hAnsi="Times New Roman" w:cs="Times New Roman"/>
                <w:sz w:val="24"/>
                <w:szCs w:val="24"/>
                <w:lang w:eastAsia="sv-SE"/>
              </w:rPr>
            </w:pPr>
          </w:p>
        </w:tc>
      </w:tr>
      <w:tr w:rsidR="000C5207" w:rsidRPr="000C5207" w14:paraId="495C9354"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09616"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765AAE2B"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Tar den här fonden hänsyn till huvudsakliga negativa konsekvenser för hållbarhetsfaktorer? </w:t>
            </w:r>
          </w:p>
          <w:p w14:paraId="04D664F9" w14:textId="5A0D27A2" w:rsidR="000C5207" w:rsidRPr="000C5207" w:rsidRDefault="000C5207" w:rsidP="00061C69">
            <w:pPr>
              <w:spacing w:after="0" w:line="240" w:lineRule="auto"/>
              <w:rPr>
                <w:rFonts w:ascii="Arial" w:eastAsia="Times New Roman" w:hAnsi="Arial" w:cs="Arial"/>
                <w:b/>
                <w:bCs/>
                <w:color w:val="000000"/>
                <w:lang w:eastAsia="sv-SE"/>
              </w:rPr>
            </w:pPr>
          </w:p>
          <w:p w14:paraId="2FEC5C81" w14:textId="77777777" w:rsidR="000C5207" w:rsidRPr="000C5207" w:rsidRDefault="000C5207" w:rsidP="000C5207">
            <w:pPr>
              <w:numPr>
                <w:ilvl w:val="0"/>
                <w:numId w:val="4"/>
              </w:numPr>
              <w:spacing w:after="0" w:line="240" w:lineRule="auto"/>
              <w:textAlignment w:val="baseline"/>
              <w:rPr>
                <w:rFonts w:ascii="Arial" w:eastAsia="Times New Roman" w:hAnsi="Arial" w:cs="Arial"/>
                <w:b/>
                <w:bCs/>
                <w:color w:val="000000"/>
                <w:lang w:eastAsia="sv-SE"/>
              </w:rPr>
            </w:pPr>
            <w:r w:rsidRPr="000C5207">
              <w:rPr>
                <w:rFonts w:ascii="Arial" w:eastAsia="Times New Roman" w:hAnsi="Arial" w:cs="Arial"/>
                <w:b/>
                <w:bCs/>
                <w:color w:val="000000"/>
                <w:lang w:eastAsia="sv-SE"/>
              </w:rPr>
              <w:t>Nej</w:t>
            </w:r>
          </w:p>
          <w:p w14:paraId="19A5959C"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006945DC" w14:textId="16E40D8F" w:rsidR="000C5207" w:rsidRDefault="000C5207" w:rsidP="000C5207">
            <w:pPr>
              <w:spacing w:after="0" w:line="240" w:lineRule="auto"/>
              <w:rPr>
                <w:rFonts w:ascii="Arial" w:eastAsia="Times New Roman" w:hAnsi="Arial" w:cs="Arial"/>
                <w:b/>
                <w:bCs/>
                <w:color w:val="000000"/>
                <w:lang w:eastAsia="sv-SE"/>
              </w:rPr>
            </w:pPr>
            <w:r w:rsidRPr="000C5207">
              <w:rPr>
                <w:rFonts w:ascii="Arial" w:eastAsia="Times New Roman" w:hAnsi="Arial" w:cs="Arial"/>
                <w:b/>
                <w:bCs/>
                <w:color w:val="000000"/>
                <w:lang w:eastAsia="sv-SE"/>
              </w:rPr>
              <w:t>Om tillämpligt, ange vilka indikatorer som används för att mäta denna fonds negativa konsekvenser.</w:t>
            </w:r>
          </w:p>
          <w:p w14:paraId="45E8EDAE" w14:textId="05C53E7B" w:rsidR="00061C69" w:rsidRPr="000C5207" w:rsidRDefault="00061C69" w:rsidP="000C5207">
            <w:pPr>
              <w:spacing w:after="0" w:line="240" w:lineRule="auto"/>
              <w:rPr>
                <w:rFonts w:ascii="Times New Roman" w:eastAsia="Times New Roman" w:hAnsi="Times New Roman" w:cs="Times New Roman"/>
                <w:sz w:val="24"/>
                <w:szCs w:val="24"/>
                <w:lang w:eastAsia="sv-SE"/>
              </w:rPr>
            </w:pPr>
            <w:r>
              <w:t xml:space="preserve">För att kunna bedöma huvudsakliga negativa konsekvenser med avseende på hållbarhetsfaktorer som uppstår i de investeringar som görs i fonderna och mandaten behöver de negativa konsekvenserna kunna genomlysas och mätas på ett tillförlitligt sätt. För att kunna genomföra sådana mätningar behöver det finnas </w:t>
            </w:r>
            <w:proofErr w:type="gramStart"/>
            <w:r>
              <w:t>standardiserad data</w:t>
            </w:r>
            <w:proofErr w:type="gramEnd"/>
            <w:r>
              <w:t xml:space="preserve"> från bl.a. portföljbolagen (t.ex. genom det arbete som för närvarande pågår inom IOSCO </w:t>
            </w:r>
            <w:proofErr w:type="spellStart"/>
            <w:r>
              <w:t>Sustainable</w:t>
            </w:r>
            <w:proofErr w:type="spellEnd"/>
            <w:r>
              <w:t xml:space="preserve"> </w:t>
            </w:r>
            <w:proofErr w:type="spellStart"/>
            <w:r>
              <w:t>Finance</w:t>
            </w:r>
            <w:proofErr w:type="spellEnd"/>
            <w:r>
              <w:t xml:space="preserve"> </w:t>
            </w:r>
            <w:proofErr w:type="spellStart"/>
            <w:r>
              <w:t>Network</w:t>
            </w:r>
            <w:proofErr w:type="spellEnd"/>
            <w:r>
              <w:t>). Tills dess denna data kan levereras anser inte Carnegie Fonder att det kan mäta investeringarnas negativa konsekvenser för hållbarhetsfaktorer på ett tillförlitligt sätt. Därutöver pågår inom EU ett arbete att fastställa gemensamma nivå 2 regler till SFDR. Inom ramen för detta arbete och efterföljande regelverk kommer de obligatoriska och frivilliga indikatorer som är relevanta och uppställs för att mäta negativa konsekvenser att fastslås. Mot denna bakgrund har Carnegie Fonder valt att avvakta ett fastställande av regelverket innan vi anger huvudsakliga negativa konsekvenser med avseende på hållbarhetsfaktorer beaktas. Detta för att säkerställa att den information som förmedlas inte är missvisande eller vilseledande. Carnegie Fonder följer utvecklingen på området och har för avsikt att beakta investeringsbesluts huvudsakliga negativa konsekvenser för hållbarhetsfaktorer så snart pålitliga mätningar kan göras och vederhäftig information kan lämnas.</w:t>
            </w:r>
          </w:p>
          <w:p w14:paraId="61A9C7A3"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c>
      </w:tr>
    </w:tbl>
    <w:p w14:paraId="7F8CE0F1"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0C5207" w:rsidRPr="000C5207" w14:paraId="53334FD8"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E7F2D"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0D81C47B"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Vilken investeringsstrategi följer den här fonden för att främja de miljörelaterade och/eller sociala egenskaper som angivits ovan?</w:t>
            </w:r>
          </w:p>
          <w:p w14:paraId="465B6213" w14:textId="77777777" w:rsidR="000C5207" w:rsidRPr="000C5207" w:rsidRDefault="000C5207" w:rsidP="000C5207">
            <w:pPr>
              <w:spacing w:after="24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3ACE4001"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Metod som används: Fonden väljer in</w:t>
            </w:r>
          </w:p>
          <w:p w14:paraId="157A3CAF"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0D76C2A5" w14:textId="77777777" w:rsidR="000C5207" w:rsidRPr="000C5207" w:rsidRDefault="000C5207" w:rsidP="000C5207">
            <w:pPr>
              <w:numPr>
                <w:ilvl w:val="0"/>
                <w:numId w:val="5"/>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Fonden främjar miljörelaterade och/eller sociala egenskaper genom att göra hållbarhetsrelaterade egenskaper kritiska i valet av bolag.</w:t>
            </w:r>
          </w:p>
          <w:p w14:paraId="13414C8C"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4B224610" w14:textId="4D8B2105"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r w:rsidR="00061C69">
              <w:t xml:space="preserve"> Hållbarhetsaspekter analyseras och betygssätts i Carnegie Fonders egenutvecklade analysverktyg CF THOR. I verktyget analyseras över 100 parametrar inom miljö, sociala faktorer och ägarstyrning. Resultaten av analysen är väl integrerade i och avgörande för investeringsbeslutet. Fonden tillåts enbart investera i bolag där den sammanvägda bedömningen motsvarar betyget Adekvat eller högre. Undantag kan göras på restriktiv basis, med goda skäl, och måste godkännas av fondbolagets investeringschef. Mer information om bedömningskriterier och metodik finns på fondbolagets hemsida.</w:t>
            </w:r>
          </w:p>
          <w:p w14:paraId="7CE6BE48"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1DA161D8" w14:textId="77777777" w:rsidR="000C5207" w:rsidRPr="000C5207" w:rsidRDefault="000C5207" w:rsidP="007A3F5C">
            <w:pPr>
              <w:spacing w:after="0" w:line="240" w:lineRule="auto"/>
              <w:ind w:left="720"/>
              <w:rPr>
                <w:rFonts w:ascii="Times New Roman" w:eastAsia="Times New Roman" w:hAnsi="Times New Roman" w:cs="Times New Roman"/>
                <w:sz w:val="24"/>
                <w:szCs w:val="24"/>
                <w:lang w:eastAsia="sv-SE"/>
              </w:rPr>
            </w:pPr>
          </w:p>
        </w:tc>
      </w:tr>
      <w:tr w:rsidR="000C5207" w:rsidRPr="000C5207" w14:paraId="3F98FE51"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AEA08"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Metod som används: Fonden väljer bort</w:t>
            </w:r>
          </w:p>
          <w:p w14:paraId="56412992" w14:textId="77777777" w:rsidR="000C5207" w:rsidRPr="000C5207" w:rsidRDefault="000C5207" w:rsidP="000C5207">
            <w:pPr>
              <w:spacing w:before="120" w:after="12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Produkter och tjänster</w:t>
            </w:r>
          </w:p>
          <w:p w14:paraId="1CE498D6"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Fonden placerar inte i bolag som bedöms ha en negativ inverkan på fondens integrering av hållbarhetsrisker. Fonden placerar inte i bolag där 5 procent eller mer av omsättningen kommer från följande produkter och tjänster:</w:t>
            </w:r>
            <w:r w:rsidRPr="000C5207">
              <w:rPr>
                <w:rFonts w:ascii="Arial" w:eastAsia="Times New Roman" w:hAnsi="Arial" w:cs="Arial"/>
                <w:color w:val="000000"/>
                <w:lang w:eastAsia="sv-SE"/>
              </w:rPr>
              <w:br/>
            </w:r>
            <w:r w:rsidRPr="000C5207">
              <w:rPr>
                <w:rFonts w:ascii="Arial" w:eastAsia="Times New Roman" w:hAnsi="Arial" w:cs="Arial"/>
                <w:color w:val="000000"/>
                <w:lang w:eastAsia="sv-SE"/>
              </w:rPr>
              <w:br/>
            </w:r>
          </w:p>
          <w:p w14:paraId="08C81892" w14:textId="77777777" w:rsidR="000C5207" w:rsidRPr="000C5207" w:rsidRDefault="000C5207" w:rsidP="000C5207">
            <w:pPr>
              <w:numPr>
                <w:ilvl w:val="0"/>
                <w:numId w:val="7"/>
              </w:numPr>
              <w:spacing w:after="0" w:line="240" w:lineRule="auto"/>
              <w:ind w:left="717"/>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Klusterbomber, landminor</w:t>
            </w:r>
            <w:r w:rsidRPr="000C5207">
              <w:rPr>
                <w:rFonts w:ascii="Arial" w:eastAsia="Times New Roman" w:hAnsi="Arial" w:cs="Arial"/>
                <w:color w:val="000000"/>
                <w:lang w:eastAsia="sv-SE"/>
              </w:rPr>
              <w:tab/>
            </w:r>
          </w:p>
          <w:p w14:paraId="7F634FCF" w14:textId="77777777" w:rsidR="000C5207" w:rsidRPr="000C5207" w:rsidRDefault="000C5207" w:rsidP="000C5207">
            <w:pPr>
              <w:spacing w:after="0" w:line="240" w:lineRule="auto"/>
              <w:ind w:left="714"/>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1FF9AFF0"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48DF47DA" w14:textId="77777777" w:rsidR="000C5207" w:rsidRPr="000C5207" w:rsidRDefault="000C5207" w:rsidP="000C5207">
            <w:pPr>
              <w:numPr>
                <w:ilvl w:val="0"/>
                <w:numId w:val="8"/>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Kemiska och biologiska vapen</w:t>
            </w:r>
            <w:r w:rsidRPr="000C5207">
              <w:rPr>
                <w:rFonts w:ascii="Arial" w:eastAsia="Times New Roman" w:hAnsi="Arial" w:cs="Arial"/>
                <w:color w:val="000000"/>
                <w:lang w:eastAsia="sv-SE"/>
              </w:rPr>
              <w:tab/>
            </w:r>
          </w:p>
          <w:p w14:paraId="38D462D8"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46E0BA7B"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365EDB7F" w14:textId="77777777" w:rsidR="000C5207" w:rsidRPr="000C5207" w:rsidRDefault="000C5207" w:rsidP="000C5207">
            <w:pPr>
              <w:numPr>
                <w:ilvl w:val="0"/>
                <w:numId w:val="9"/>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Kärnvapen</w:t>
            </w:r>
            <w:r w:rsidRPr="000C5207">
              <w:rPr>
                <w:rFonts w:ascii="Arial" w:eastAsia="Times New Roman" w:hAnsi="Arial" w:cs="Arial"/>
                <w:color w:val="000000"/>
                <w:lang w:eastAsia="sv-SE"/>
              </w:rPr>
              <w:tab/>
            </w:r>
            <w:r w:rsidRPr="000C5207">
              <w:rPr>
                <w:rFonts w:ascii="Arial" w:eastAsia="Times New Roman" w:hAnsi="Arial" w:cs="Arial"/>
                <w:color w:val="000000"/>
                <w:lang w:eastAsia="sv-SE"/>
              </w:rPr>
              <w:tab/>
            </w:r>
          </w:p>
          <w:p w14:paraId="701776AB"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4F306EAA"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10124302" w14:textId="77777777" w:rsidR="000C5207" w:rsidRPr="000C5207" w:rsidRDefault="000C5207" w:rsidP="000C5207">
            <w:pPr>
              <w:numPr>
                <w:ilvl w:val="0"/>
                <w:numId w:val="10"/>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Vapen och/eller krigsmaterial</w:t>
            </w:r>
            <w:r w:rsidRPr="000C5207">
              <w:rPr>
                <w:rFonts w:ascii="Arial" w:eastAsia="Times New Roman" w:hAnsi="Arial" w:cs="Arial"/>
                <w:color w:val="000000"/>
                <w:lang w:eastAsia="sv-SE"/>
              </w:rPr>
              <w:tab/>
            </w:r>
          </w:p>
          <w:p w14:paraId="27A14FA3"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7278E49F"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22E7A1BF" w14:textId="77777777" w:rsidR="000C5207" w:rsidRPr="000C5207" w:rsidRDefault="000C5207" w:rsidP="000C5207">
            <w:pPr>
              <w:numPr>
                <w:ilvl w:val="0"/>
                <w:numId w:val="11"/>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Alkohol</w:t>
            </w:r>
            <w:r w:rsidRPr="000C5207">
              <w:rPr>
                <w:rFonts w:ascii="Arial" w:eastAsia="Times New Roman" w:hAnsi="Arial" w:cs="Arial"/>
                <w:color w:val="000000"/>
                <w:lang w:eastAsia="sv-SE"/>
              </w:rPr>
              <w:tab/>
            </w:r>
            <w:r w:rsidRPr="000C5207">
              <w:rPr>
                <w:rFonts w:ascii="Arial" w:eastAsia="Times New Roman" w:hAnsi="Arial" w:cs="Arial"/>
                <w:color w:val="000000"/>
                <w:lang w:eastAsia="sv-SE"/>
              </w:rPr>
              <w:tab/>
            </w:r>
          </w:p>
          <w:p w14:paraId="2B34EB23"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282D73E2"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72C37A98" w14:textId="77777777" w:rsidR="000C5207" w:rsidRPr="000C5207" w:rsidRDefault="000C5207" w:rsidP="000C5207">
            <w:pPr>
              <w:numPr>
                <w:ilvl w:val="0"/>
                <w:numId w:val="12"/>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Tobak</w:t>
            </w:r>
            <w:r w:rsidRPr="000C5207">
              <w:rPr>
                <w:rFonts w:ascii="Arial" w:eastAsia="Times New Roman" w:hAnsi="Arial" w:cs="Arial"/>
                <w:color w:val="000000"/>
                <w:lang w:eastAsia="sv-SE"/>
              </w:rPr>
              <w:tab/>
            </w:r>
            <w:r w:rsidRPr="000C5207">
              <w:rPr>
                <w:rFonts w:ascii="Arial" w:eastAsia="Times New Roman" w:hAnsi="Arial" w:cs="Arial"/>
                <w:color w:val="000000"/>
                <w:lang w:eastAsia="sv-SE"/>
              </w:rPr>
              <w:tab/>
            </w:r>
          </w:p>
          <w:p w14:paraId="5042FCB9"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34E62770"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7C83D28B" w14:textId="77777777" w:rsidR="000C5207" w:rsidRPr="000C5207" w:rsidRDefault="000C5207" w:rsidP="000C5207">
            <w:pPr>
              <w:numPr>
                <w:ilvl w:val="0"/>
                <w:numId w:val="13"/>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lastRenderedPageBreak/>
              <w:t>Kommersiell spelverksamhet</w:t>
            </w:r>
            <w:r w:rsidRPr="000C5207">
              <w:rPr>
                <w:rFonts w:ascii="Arial" w:eastAsia="Times New Roman" w:hAnsi="Arial" w:cs="Arial"/>
                <w:color w:val="000000"/>
                <w:lang w:eastAsia="sv-SE"/>
              </w:rPr>
              <w:tab/>
            </w:r>
          </w:p>
          <w:p w14:paraId="68311D0C"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3F344D9F"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r w:rsidRPr="000C5207">
              <w:rPr>
                <w:rFonts w:ascii="Times New Roman" w:eastAsia="Times New Roman" w:hAnsi="Times New Roman" w:cs="Times New Roman"/>
                <w:sz w:val="24"/>
                <w:szCs w:val="24"/>
                <w:lang w:eastAsia="sv-SE"/>
              </w:rPr>
              <w:br/>
            </w:r>
          </w:p>
          <w:p w14:paraId="549294B1" w14:textId="77777777" w:rsidR="000C5207" w:rsidRPr="000C5207" w:rsidRDefault="000C5207" w:rsidP="000C5207">
            <w:pPr>
              <w:numPr>
                <w:ilvl w:val="0"/>
                <w:numId w:val="14"/>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Pornografi</w:t>
            </w:r>
            <w:r w:rsidRPr="000C5207">
              <w:rPr>
                <w:rFonts w:ascii="Arial" w:eastAsia="Times New Roman" w:hAnsi="Arial" w:cs="Arial"/>
                <w:color w:val="000000"/>
                <w:lang w:eastAsia="sv-SE"/>
              </w:rPr>
              <w:tab/>
            </w:r>
            <w:r w:rsidRPr="000C5207">
              <w:rPr>
                <w:rFonts w:ascii="Arial" w:eastAsia="Times New Roman" w:hAnsi="Arial" w:cs="Arial"/>
                <w:color w:val="000000"/>
                <w:lang w:eastAsia="sv-SE"/>
              </w:rPr>
              <w:tab/>
            </w:r>
          </w:p>
          <w:p w14:paraId="165F3287"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5D2231EB"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03E1EC27" w14:textId="77777777" w:rsidR="000C5207" w:rsidRPr="000C5207" w:rsidRDefault="000C5207" w:rsidP="000C5207">
            <w:pPr>
              <w:numPr>
                <w:ilvl w:val="0"/>
                <w:numId w:val="15"/>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Fossila bränslen (olja, gas, kol)</w:t>
            </w:r>
            <w:r w:rsidRPr="000C5207">
              <w:rPr>
                <w:rFonts w:ascii="Arial" w:eastAsia="Times New Roman" w:hAnsi="Arial" w:cs="Arial"/>
                <w:color w:val="000000"/>
                <w:lang w:eastAsia="sv-SE"/>
              </w:rPr>
              <w:tab/>
            </w:r>
          </w:p>
          <w:p w14:paraId="0D2D373D"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1AACD2F0"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4CAB30E4" w14:textId="77777777" w:rsidR="000C5207" w:rsidRPr="000C5207" w:rsidRDefault="000C5207" w:rsidP="000C5207">
            <w:pPr>
              <w:spacing w:before="120"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Internationella normer</w:t>
            </w:r>
          </w:p>
          <w:p w14:paraId="5E7F85F9"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 xml:space="preserve">Internationella normer syftar till internationella konventioner, lagar och överenskommelser. FN Global </w:t>
            </w:r>
            <w:proofErr w:type="spellStart"/>
            <w:r w:rsidRPr="000C5207">
              <w:rPr>
                <w:rFonts w:ascii="Arial" w:eastAsia="Times New Roman" w:hAnsi="Arial" w:cs="Arial"/>
                <w:color w:val="000000"/>
                <w:lang w:eastAsia="sv-SE"/>
              </w:rPr>
              <w:t>Compact</w:t>
            </w:r>
            <w:proofErr w:type="spellEnd"/>
            <w:r w:rsidRPr="000C5207">
              <w:rPr>
                <w:rFonts w:ascii="Arial" w:eastAsia="Times New Roman" w:hAnsi="Arial" w:cs="Arial"/>
                <w:color w:val="000000"/>
                <w:lang w:eastAsia="sv-SE"/>
              </w:rPr>
              <w:t xml:space="preserve"> och OECD:s är två exempel, vars riktlinjer för multinationella företag behandlar frågor om miljö, mänskliga rättigheter, arbetsvillkor och affärsetik.</w:t>
            </w:r>
          </w:p>
          <w:p w14:paraId="5D4397EB"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7E88EAB3" w14:textId="77777777" w:rsidR="000C5207" w:rsidRPr="000C5207" w:rsidRDefault="000C5207" w:rsidP="000C5207">
            <w:pPr>
              <w:numPr>
                <w:ilvl w:val="0"/>
                <w:numId w:val="21"/>
              </w:numPr>
              <w:spacing w:after="0" w:line="240" w:lineRule="auto"/>
              <w:ind w:left="1440"/>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 xml:space="preserve">Fonden investerar inte i bolag som ej aktivt försöker åtgärda identifierade problem. Fonden investerar ej heller i bolag som inte väntas kunna komma </w:t>
            </w:r>
            <w:proofErr w:type="gramStart"/>
            <w:r w:rsidRPr="000C5207">
              <w:rPr>
                <w:rFonts w:ascii="Arial" w:eastAsia="Times New Roman" w:hAnsi="Arial" w:cs="Arial"/>
                <w:color w:val="000000"/>
                <w:lang w:eastAsia="sv-SE"/>
              </w:rPr>
              <w:t>tillrätta</w:t>
            </w:r>
            <w:proofErr w:type="gramEnd"/>
            <w:r w:rsidRPr="000C5207">
              <w:rPr>
                <w:rFonts w:ascii="Arial" w:eastAsia="Times New Roman" w:hAnsi="Arial" w:cs="Arial"/>
                <w:color w:val="000000"/>
                <w:lang w:eastAsia="sv-SE"/>
              </w:rPr>
              <w:t xml:space="preserve"> med problemet under en viss rimlig tid. </w:t>
            </w:r>
          </w:p>
          <w:p w14:paraId="65A0C0B3" w14:textId="06047D02" w:rsidR="000C5207" w:rsidRPr="000C5207" w:rsidRDefault="000C5207" w:rsidP="00424E89">
            <w:pPr>
              <w:spacing w:after="0" w:line="240" w:lineRule="auto"/>
              <w:ind w:left="1080"/>
              <w:textAlignment w:val="baseline"/>
              <w:rPr>
                <w:rFonts w:ascii="Arial" w:eastAsia="Times New Roman" w:hAnsi="Arial" w:cs="Arial"/>
                <w:color w:val="000000"/>
                <w:lang w:eastAsia="sv-SE"/>
              </w:rPr>
            </w:pPr>
          </w:p>
          <w:p w14:paraId="7C3E8FD3" w14:textId="77777777" w:rsidR="00424E89" w:rsidRDefault="000C5207" w:rsidP="000C5207">
            <w:pPr>
              <w:spacing w:after="0" w:line="240" w:lineRule="auto"/>
              <w:ind w:left="136" w:firstLine="1304"/>
            </w:pPr>
            <w:r w:rsidRPr="000C5207">
              <w:rPr>
                <w:rFonts w:ascii="Arial" w:eastAsia="Times New Roman" w:hAnsi="Arial" w:cs="Arial"/>
                <w:color w:val="000000"/>
                <w:lang w:eastAsia="sv-SE"/>
              </w:rPr>
              <w:t>Fondbolagets kommentar:</w:t>
            </w:r>
            <w:r w:rsidR="00424E89">
              <w:t xml:space="preserve"> Vi undviker företag som bryter mot internationella normer som FN Global </w:t>
            </w:r>
            <w:proofErr w:type="spellStart"/>
            <w:r w:rsidR="00424E89">
              <w:t>Compact</w:t>
            </w:r>
            <w:proofErr w:type="spellEnd"/>
            <w:r w:rsidR="00424E89">
              <w:t xml:space="preserve">, och kontrollerar detta regelbundet med hjälp av en extern hållbarhetsexpert. Om vi får information om att ett innehav inte lever upp till våra krav har vi flera möjligheter: </w:t>
            </w:r>
          </w:p>
          <w:p w14:paraId="089F23B1" w14:textId="4227059D" w:rsidR="00424E89" w:rsidRDefault="00424E89" w:rsidP="00424E89">
            <w:pPr>
              <w:pStyle w:val="ListParagraph"/>
              <w:numPr>
                <w:ilvl w:val="1"/>
                <w:numId w:val="21"/>
              </w:numPr>
              <w:spacing w:after="0" w:line="240" w:lineRule="auto"/>
            </w:pPr>
            <w:r>
              <w:t xml:space="preserve">Förvaltaren söker mer information och diskuterar innehavet med Carnegie Fonders råd för ansvarsfulla investeringar. </w:t>
            </w:r>
          </w:p>
          <w:p w14:paraId="643521A9" w14:textId="77777777" w:rsidR="00FF20E2" w:rsidRPr="00FF20E2" w:rsidRDefault="00424E89" w:rsidP="00424E89">
            <w:pPr>
              <w:pStyle w:val="ListParagraph"/>
              <w:numPr>
                <w:ilvl w:val="1"/>
                <w:numId w:val="21"/>
              </w:numPr>
              <w:spacing w:after="0" w:line="240" w:lineRule="auto"/>
              <w:rPr>
                <w:rFonts w:ascii="Times New Roman" w:eastAsia="Times New Roman" w:hAnsi="Times New Roman" w:cs="Times New Roman"/>
                <w:sz w:val="24"/>
                <w:szCs w:val="24"/>
                <w:lang w:eastAsia="sv-SE"/>
              </w:rPr>
            </w:pPr>
            <w:r>
              <w:t xml:space="preserve">Förvaltaren tar kontakt med företaget med de frågeställningar vi har. </w:t>
            </w:r>
          </w:p>
          <w:p w14:paraId="3214E0E2" w14:textId="438227F8" w:rsidR="00FF20E2" w:rsidRPr="00FF20E2" w:rsidRDefault="00424E89" w:rsidP="00424E89">
            <w:pPr>
              <w:pStyle w:val="ListParagraph"/>
              <w:numPr>
                <w:ilvl w:val="1"/>
                <w:numId w:val="21"/>
              </w:numPr>
              <w:spacing w:after="0" w:line="240" w:lineRule="auto"/>
              <w:rPr>
                <w:rFonts w:ascii="Times New Roman" w:eastAsia="Times New Roman" w:hAnsi="Times New Roman" w:cs="Times New Roman"/>
                <w:sz w:val="24"/>
                <w:szCs w:val="24"/>
                <w:lang w:eastAsia="sv-SE"/>
              </w:rPr>
            </w:pPr>
            <w:r>
              <w:t xml:space="preserve">Carnegie Fonders investeringschef eller VD tar en mer formell kontakt med innehavets VD eller styrelseordförande. </w:t>
            </w:r>
          </w:p>
          <w:p w14:paraId="1808ECAC" w14:textId="77777777" w:rsidR="00FF20E2" w:rsidRPr="00FF20E2" w:rsidRDefault="00424E89" w:rsidP="00424E89">
            <w:pPr>
              <w:pStyle w:val="ListParagraph"/>
              <w:numPr>
                <w:ilvl w:val="1"/>
                <w:numId w:val="21"/>
              </w:numPr>
              <w:spacing w:after="0" w:line="240" w:lineRule="auto"/>
              <w:rPr>
                <w:rFonts w:ascii="Times New Roman" w:eastAsia="Times New Roman" w:hAnsi="Times New Roman" w:cs="Times New Roman"/>
                <w:sz w:val="24"/>
                <w:szCs w:val="24"/>
                <w:lang w:eastAsia="sv-SE"/>
              </w:rPr>
            </w:pPr>
            <w:r>
              <w:t xml:space="preserve">Kontakt med andra aktieägare för en gemensam ägardialog. </w:t>
            </w:r>
          </w:p>
          <w:p w14:paraId="23ACC745" w14:textId="77777777" w:rsidR="00FF20E2" w:rsidRPr="00FF20E2" w:rsidRDefault="00424E89" w:rsidP="00424E89">
            <w:pPr>
              <w:pStyle w:val="ListParagraph"/>
              <w:numPr>
                <w:ilvl w:val="1"/>
                <w:numId w:val="21"/>
              </w:numPr>
              <w:spacing w:after="0" w:line="240" w:lineRule="auto"/>
              <w:rPr>
                <w:rFonts w:ascii="Times New Roman" w:eastAsia="Times New Roman" w:hAnsi="Times New Roman" w:cs="Times New Roman"/>
                <w:sz w:val="24"/>
                <w:szCs w:val="24"/>
                <w:lang w:eastAsia="sv-SE"/>
              </w:rPr>
            </w:pPr>
            <w:r>
              <w:t xml:space="preserve">Om svaret inte är tillfredsställande och företaget inte visar förändringsvilja kan vi välja att avyttra innehavet. </w:t>
            </w:r>
          </w:p>
          <w:p w14:paraId="65343F9C" w14:textId="77777777" w:rsidR="00FF20E2" w:rsidRDefault="00FF20E2" w:rsidP="00FF20E2">
            <w:pPr>
              <w:spacing w:after="0" w:line="240" w:lineRule="auto"/>
            </w:pPr>
          </w:p>
          <w:p w14:paraId="630D6D9D" w14:textId="320782DE" w:rsidR="000C5207" w:rsidRPr="00FF20E2" w:rsidRDefault="00424E89" w:rsidP="00FF20E2">
            <w:pPr>
              <w:spacing w:after="0" w:line="240" w:lineRule="auto"/>
              <w:rPr>
                <w:rFonts w:ascii="Times New Roman" w:eastAsia="Times New Roman" w:hAnsi="Times New Roman" w:cs="Times New Roman"/>
                <w:sz w:val="24"/>
                <w:szCs w:val="24"/>
                <w:lang w:eastAsia="sv-SE"/>
              </w:rPr>
            </w:pPr>
            <w:r>
              <w:t>Den här typen av processer tar olika lång tid, beroende på frågans natur, storleken på vår ägarandel och var i världen företaget är baserat. Varje fall är unikt och får sin egen utvärdering.</w:t>
            </w:r>
          </w:p>
          <w:p w14:paraId="6433FC51" w14:textId="77777777" w:rsidR="00FF20E2" w:rsidRDefault="00FF20E2" w:rsidP="000C5207">
            <w:pPr>
              <w:spacing w:after="0" w:line="240" w:lineRule="auto"/>
              <w:rPr>
                <w:rFonts w:ascii="Arial" w:eastAsia="Times New Roman" w:hAnsi="Arial" w:cs="Arial"/>
                <w:b/>
                <w:bCs/>
                <w:color w:val="000000"/>
                <w:lang w:eastAsia="sv-SE"/>
              </w:rPr>
            </w:pPr>
          </w:p>
          <w:p w14:paraId="021FEBA2" w14:textId="20793005"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Övrigt </w:t>
            </w:r>
          </w:p>
          <w:p w14:paraId="1D9F6398" w14:textId="77777777" w:rsidR="000C5207" w:rsidRPr="000C5207" w:rsidRDefault="000C5207" w:rsidP="000C5207">
            <w:pPr>
              <w:numPr>
                <w:ilvl w:val="0"/>
                <w:numId w:val="23"/>
              </w:numPr>
              <w:spacing w:after="0" w:line="240" w:lineRule="auto"/>
              <w:ind w:left="717"/>
              <w:textAlignment w:val="baseline"/>
              <w:rPr>
                <w:rFonts w:ascii="Arial" w:eastAsia="Times New Roman" w:hAnsi="Arial" w:cs="Arial"/>
                <w:b/>
                <w:bCs/>
                <w:color w:val="000000"/>
                <w:lang w:eastAsia="sv-SE"/>
              </w:rPr>
            </w:pPr>
            <w:r w:rsidRPr="000C5207">
              <w:rPr>
                <w:rFonts w:ascii="Arial" w:eastAsia="Times New Roman" w:hAnsi="Arial" w:cs="Arial"/>
                <w:b/>
                <w:bCs/>
                <w:color w:val="000000"/>
                <w:lang w:eastAsia="sv-SE"/>
              </w:rPr>
              <w:t>Övrigt </w:t>
            </w:r>
          </w:p>
          <w:p w14:paraId="06BC8B7A" w14:textId="77777777" w:rsidR="000C5207" w:rsidRPr="000C5207" w:rsidRDefault="000C5207" w:rsidP="000C5207">
            <w:pPr>
              <w:spacing w:after="0" w:line="240" w:lineRule="auto"/>
              <w:ind w:firstLine="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 </w:t>
            </w:r>
          </w:p>
          <w:p w14:paraId="0A3F75DB"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c>
      </w:tr>
    </w:tbl>
    <w:p w14:paraId="6B614642"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0C5207" w:rsidRPr="000C5207" w14:paraId="741CB3DE"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15435"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Fondbolaget påverkar </w:t>
            </w:r>
          </w:p>
          <w:p w14:paraId="32981D0B"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109EF3C9"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 utövar sitt inflytande för att påverka bolag i hållbarhetsfrågor. Fondbolaget samarbetar med företag i syfte att påverka dem i en mer hållbar riktning. </w:t>
            </w:r>
          </w:p>
          <w:p w14:paraId="3CFB0FC1"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06983FA0" w14:textId="77777777" w:rsidR="000C5207" w:rsidRPr="000C5207" w:rsidRDefault="000C5207" w:rsidP="000C5207">
            <w:pPr>
              <w:numPr>
                <w:ilvl w:val="0"/>
                <w:numId w:val="24"/>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Bolagspåverkan i egen regi </w:t>
            </w:r>
          </w:p>
          <w:p w14:paraId="19CD8ECE" w14:textId="5AE5859B"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r w:rsidR="00B50C9D">
              <w:rPr>
                <w:rFonts w:ascii="Arial" w:eastAsia="Times New Roman" w:hAnsi="Arial" w:cs="Arial"/>
                <w:color w:val="000000"/>
                <w:lang w:eastAsia="sv-SE"/>
              </w:rPr>
              <w:t xml:space="preserve"> </w:t>
            </w:r>
            <w:r w:rsidR="00B50C9D">
              <w:t xml:space="preserve">Som aktiva förvaltare bevakar vi samtliga innehav kontinuerligt. De företag som inte lever upp till våra förväntningar inleder vi en formell </w:t>
            </w:r>
            <w:r w:rsidR="00B50C9D">
              <w:lastRenderedPageBreak/>
              <w:t>påverkansdialog med (se Internationella normer ovan). Det mer vardagliga arbetet innebär kontakter där vi för fram våra förväntningar och synpunkter, inte minst i de företag där vi är en större ägare.</w:t>
            </w:r>
          </w:p>
          <w:p w14:paraId="7DEC38B8" w14:textId="77777777" w:rsidR="000C5207" w:rsidRPr="000C5207" w:rsidRDefault="000C5207" w:rsidP="000C5207">
            <w:pPr>
              <w:numPr>
                <w:ilvl w:val="0"/>
                <w:numId w:val="25"/>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Bolagspåverkan i samarbete med andra investerare</w:t>
            </w:r>
          </w:p>
          <w:p w14:paraId="6A48DA69" w14:textId="79CDE96A"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r w:rsidR="00B50C9D">
              <w:t xml:space="preserve"> Vi agerar oftast på egen hand, men om det bedöms lämpligt kan vi ingripa tillsammans med andra ägare, till exempel genom PRI.</w:t>
            </w:r>
          </w:p>
          <w:p w14:paraId="3E380FB6" w14:textId="77777777" w:rsidR="000C5207" w:rsidRPr="000C5207" w:rsidRDefault="000C5207" w:rsidP="000C5207">
            <w:pPr>
              <w:numPr>
                <w:ilvl w:val="0"/>
                <w:numId w:val="27"/>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Röstar på bolagsstämmor </w:t>
            </w:r>
          </w:p>
          <w:p w14:paraId="07BF93C9" w14:textId="14D398E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r w:rsidR="00B50C9D">
              <w:rPr>
                <w:rFonts w:ascii="Arial" w:eastAsia="Times New Roman" w:hAnsi="Arial" w:cs="Arial"/>
                <w:color w:val="000000"/>
                <w:lang w:eastAsia="sv-SE"/>
              </w:rPr>
              <w:t xml:space="preserve"> </w:t>
            </w:r>
            <w:r w:rsidR="00B50C9D">
              <w:t>Vi deltar på bolagsstämmor och röstar för aktierna i våra fonder.</w:t>
            </w:r>
          </w:p>
          <w:p w14:paraId="5B953140" w14:textId="149D95AF" w:rsidR="000C5207" w:rsidRPr="000C5207" w:rsidRDefault="000C5207" w:rsidP="000C5207">
            <w:pPr>
              <w:numPr>
                <w:ilvl w:val="0"/>
                <w:numId w:val="28"/>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Deltar i nomineringskommittéer för att aktivt kunna påverka styrelsens sammansättning</w:t>
            </w:r>
          </w:p>
          <w:p w14:paraId="058F5D0A" w14:textId="3AB595EF"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r w:rsidR="00B50C9D">
              <w:t xml:space="preserve"> Vi är med i valberedningar och arbetar då för diversifierade styrelser och ledamöter som karakteriseras av stark integritet.</w:t>
            </w:r>
          </w:p>
          <w:p w14:paraId="6D8DCDCA" w14:textId="77777777" w:rsidR="000C5207" w:rsidRPr="000C5207" w:rsidRDefault="000C5207" w:rsidP="00B50C9D">
            <w:pPr>
              <w:spacing w:after="0" w:line="240" w:lineRule="auto"/>
              <w:ind w:left="720"/>
              <w:rPr>
                <w:rFonts w:ascii="Times New Roman" w:eastAsia="Times New Roman" w:hAnsi="Times New Roman" w:cs="Times New Roman"/>
                <w:sz w:val="24"/>
                <w:szCs w:val="24"/>
                <w:lang w:eastAsia="sv-SE"/>
              </w:rPr>
            </w:pPr>
          </w:p>
        </w:tc>
      </w:tr>
    </w:tbl>
    <w:p w14:paraId="0C2D44A9"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0C5207" w:rsidRPr="000C5207" w14:paraId="4A9ECDDC"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FC85C"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Resurser</w:t>
            </w:r>
          </w:p>
          <w:p w14:paraId="55A63767"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i/>
                <w:iCs/>
                <w:color w:val="000000"/>
                <w:lang w:eastAsia="sv-SE"/>
              </w:rPr>
              <w:t>(Valfri information utöver standarden för hållbarhetsinformation)</w:t>
            </w:r>
          </w:p>
          <w:p w14:paraId="64A85D48"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2A0F7E75"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Resurser för analys, uppföljning och kontroll</w:t>
            </w:r>
          </w:p>
          <w:p w14:paraId="2F73062D"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6AC0C49C" w14:textId="77777777" w:rsidR="000C5207" w:rsidRPr="000C5207" w:rsidRDefault="000C5207" w:rsidP="000C5207">
            <w:pPr>
              <w:numPr>
                <w:ilvl w:val="0"/>
                <w:numId w:val="30"/>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 xml:space="preserve">Fonden använder </w:t>
            </w:r>
            <w:r w:rsidRPr="000C5207">
              <w:rPr>
                <w:rFonts w:ascii="Arial" w:eastAsia="Times New Roman" w:hAnsi="Arial" w:cs="Arial"/>
                <w:color w:val="000000"/>
                <w:u w:val="single"/>
                <w:lang w:eastAsia="sv-SE"/>
              </w:rPr>
              <w:t>interna</w:t>
            </w:r>
            <w:r w:rsidRPr="000C5207">
              <w:rPr>
                <w:rFonts w:ascii="Arial" w:eastAsia="Times New Roman" w:hAnsi="Arial" w:cs="Arial"/>
                <w:color w:val="000000"/>
                <w:lang w:eastAsia="sv-SE"/>
              </w:rPr>
              <w:t xml:space="preserve"> resurser för hållbarhetsanalys och engagemang för att följa upp miljörelaterade och/eller sociala egenskaper som främjas av fonden (samt om tillämpligt de hållbara investeringarna som fonden åtagit sig att göra enligt EU:s taxonomi eller i övrigt). </w:t>
            </w:r>
          </w:p>
          <w:p w14:paraId="004393D4"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3B8AE8DC"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5B140648" w14:textId="77777777" w:rsidR="000C5207" w:rsidRPr="000C5207" w:rsidRDefault="000C5207" w:rsidP="000C5207">
            <w:pPr>
              <w:numPr>
                <w:ilvl w:val="0"/>
                <w:numId w:val="31"/>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 xml:space="preserve">Fonden använder </w:t>
            </w:r>
            <w:r w:rsidRPr="000C5207">
              <w:rPr>
                <w:rFonts w:ascii="Arial" w:eastAsia="Times New Roman" w:hAnsi="Arial" w:cs="Arial"/>
                <w:color w:val="000000"/>
                <w:u w:val="single"/>
                <w:lang w:eastAsia="sv-SE"/>
              </w:rPr>
              <w:t>externa</w:t>
            </w:r>
            <w:r w:rsidRPr="000C5207">
              <w:rPr>
                <w:rFonts w:ascii="Arial" w:eastAsia="Times New Roman" w:hAnsi="Arial" w:cs="Arial"/>
                <w:color w:val="000000"/>
                <w:lang w:eastAsia="sv-SE"/>
              </w:rPr>
              <w:t xml:space="preserve"> resurser för hållbarhetsanalys och engagemang för att följa upp miljörelaterade och/eller sociala egenskaper som främjas av fonden (samt om tillämpligt de hållbara investeringarna som fonden åtagit sig att göra enligt EU:s taxonomi eller i övrigt). </w:t>
            </w:r>
          </w:p>
          <w:p w14:paraId="2A41CF86" w14:textId="2CBAA4D8"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r w:rsidR="000F754F">
              <w:rPr>
                <w:rFonts w:ascii="Arial" w:eastAsia="Times New Roman" w:hAnsi="Arial" w:cs="Arial"/>
                <w:color w:val="000000"/>
                <w:lang w:eastAsia="sv-SE"/>
              </w:rPr>
              <w:t xml:space="preserve"> Fondbolaget erhåller data från </w:t>
            </w:r>
            <w:proofErr w:type="spellStart"/>
            <w:r w:rsidR="000F754F">
              <w:rPr>
                <w:rFonts w:ascii="Arial" w:eastAsia="Times New Roman" w:hAnsi="Arial" w:cs="Arial"/>
                <w:color w:val="000000"/>
                <w:lang w:eastAsia="sv-SE"/>
              </w:rPr>
              <w:t>Sustainalytics</w:t>
            </w:r>
            <w:proofErr w:type="spellEnd"/>
            <w:r w:rsidR="000F754F">
              <w:rPr>
                <w:rFonts w:ascii="Arial" w:eastAsia="Times New Roman" w:hAnsi="Arial" w:cs="Arial"/>
                <w:color w:val="000000"/>
                <w:lang w:eastAsia="sv-SE"/>
              </w:rPr>
              <w:t xml:space="preserve"> avseende </w:t>
            </w:r>
            <w:proofErr w:type="gramStart"/>
            <w:r w:rsidR="000F754F">
              <w:rPr>
                <w:rFonts w:ascii="Arial" w:eastAsia="Times New Roman" w:hAnsi="Arial" w:cs="Arial"/>
                <w:color w:val="000000"/>
                <w:lang w:eastAsia="sv-SE"/>
              </w:rPr>
              <w:t>företags produkter</w:t>
            </w:r>
            <w:proofErr w:type="gramEnd"/>
            <w:r w:rsidR="000F754F">
              <w:rPr>
                <w:rFonts w:ascii="Arial" w:eastAsia="Times New Roman" w:hAnsi="Arial" w:cs="Arial"/>
                <w:color w:val="000000"/>
                <w:lang w:eastAsia="sv-SE"/>
              </w:rPr>
              <w:t xml:space="preserve"> och tjänster samt internationella normer. </w:t>
            </w:r>
          </w:p>
          <w:p w14:paraId="31DC36E4" w14:textId="2259BF85" w:rsidR="000C5207" w:rsidRPr="000C5207" w:rsidRDefault="000C5207" w:rsidP="00AE1079">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683295B4"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77A6022A" w14:textId="77777777" w:rsidR="000C5207" w:rsidRPr="000C5207" w:rsidRDefault="000C5207" w:rsidP="000C5207">
            <w:pPr>
              <w:spacing w:after="0" w:line="240" w:lineRule="auto"/>
              <w:ind w:firstLine="709"/>
              <w:rPr>
                <w:rFonts w:ascii="Times New Roman" w:eastAsia="Times New Roman" w:hAnsi="Times New Roman" w:cs="Times New Roman"/>
                <w:sz w:val="24"/>
                <w:szCs w:val="24"/>
                <w:lang w:eastAsia="sv-SE"/>
              </w:rPr>
            </w:pPr>
            <w:r w:rsidRPr="000C5207">
              <w:rPr>
                <w:rFonts w:ascii="Arial" w:eastAsia="Times New Roman" w:hAnsi="Arial" w:cs="Arial"/>
                <w:i/>
                <w:iCs/>
                <w:color w:val="000000"/>
                <w:lang w:eastAsia="sv-SE"/>
              </w:rPr>
              <w:t>För fullständig information om analysmetoden, vänligen besök fondbolagets hemsida</w:t>
            </w:r>
            <w:r w:rsidRPr="000C5207">
              <w:rPr>
                <w:rFonts w:ascii="Arial" w:eastAsia="Times New Roman" w:hAnsi="Arial" w:cs="Arial"/>
                <w:color w:val="000000"/>
                <w:lang w:eastAsia="sv-SE"/>
              </w:rPr>
              <w:t>.</w:t>
            </w:r>
          </w:p>
          <w:p w14:paraId="36ADF50D"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c>
      </w:tr>
    </w:tbl>
    <w:p w14:paraId="494C5E77"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0C5207" w:rsidRPr="000C5207" w14:paraId="002F2BF1"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0EA81"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Ytterligare information</w:t>
            </w:r>
          </w:p>
          <w:p w14:paraId="16C1003A"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i/>
                <w:iCs/>
                <w:color w:val="000000"/>
                <w:lang w:eastAsia="sv-SE"/>
              </w:rPr>
              <w:t>(Valfri information utöver standarden för hållbarhetsinformation)</w:t>
            </w:r>
          </w:p>
          <w:p w14:paraId="05326EBD"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7ACF0EF1" w14:textId="77777777" w:rsidR="000C5207" w:rsidRPr="000C5207" w:rsidRDefault="000C5207" w:rsidP="000C5207">
            <w:pPr>
              <w:numPr>
                <w:ilvl w:val="0"/>
                <w:numId w:val="33"/>
              </w:numPr>
              <w:spacing w:after="0" w:line="240" w:lineRule="auto"/>
              <w:textAlignment w:val="baseline"/>
              <w:rPr>
                <w:rFonts w:ascii="Arial" w:eastAsia="Times New Roman" w:hAnsi="Arial" w:cs="Arial"/>
                <w:color w:val="000000"/>
                <w:lang w:eastAsia="sv-SE"/>
              </w:rPr>
            </w:pPr>
            <w:r w:rsidRPr="000C5207">
              <w:rPr>
                <w:rFonts w:ascii="Arial" w:eastAsia="Times New Roman" w:hAnsi="Arial" w:cs="Arial"/>
                <w:color w:val="000000"/>
                <w:lang w:eastAsia="sv-SE"/>
              </w:rPr>
              <w:t>Fondens investeringar publiceras på fondbolagets hemsida.</w:t>
            </w:r>
          </w:p>
          <w:p w14:paraId="747D1BEC" w14:textId="1B2BDFEB"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Länk:</w:t>
            </w:r>
            <w:r w:rsidR="001405B6">
              <w:t xml:space="preserve"> </w:t>
            </w:r>
            <w:hyperlink r:id="rId5" w:history="1">
              <w:r w:rsidR="001405B6" w:rsidRPr="00586E73">
                <w:rPr>
                  <w:rStyle w:val="Hyperlink"/>
                  <w:rFonts w:ascii="Arial" w:eastAsia="Times New Roman" w:hAnsi="Arial" w:cs="Arial"/>
                  <w:lang w:eastAsia="sv-SE"/>
                </w:rPr>
                <w:t>https://www.carnegiefonder.se/om-oss/riskinformation/1554-2/</w:t>
              </w:r>
            </w:hyperlink>
            <w:r w:rsidR="001405B6">
              <w:rPr>
                <w:rFonts w:ascii="Arial" w:eastAsia="Times New Roman" w:hAnsi="Arial" w:cs="Arial"/>
                <w:color w:val="000000"/>
                <w:lang w:eastAsia="sv-SE"/>
              </w:rPr>
              <w:t xml:space="preserve"> </w:t>
            </w:r>
          </w:p>
          <w:p w14:paraId="7EA52DFB"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Uppdateringsfrekvens:</w:t>
            </w:r>
          </w:p>
          <w:p w14:paraId="21E20320" w14:textId="77777777" w:rsidR="000C5207" w:rsidRPr="000C5207" w:rsidRDefault="000C5207" w:rsidP="000C5207">
            <w:pPr>
              <w:spacing w:after="0" w:line="240" w:lineRule="auto"/>
              <w:ind w:firstLine="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Fondbolagets kommentar:</w:t>
            </w:r>
          </w:p>
          <w:p w14:paraId="7C490168" w14:textId="2F04CD36"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Times New Roman" w:eastAsia="Times New Roman" w:hAnsi="Times New Roman" w:cs="Times New Roman"/>
                <w:sz w:val="24"/>
                <w:szCs w:val="24"/>
                <w:lang w:eastAsia="sv-SE"/>
              </w:rPr>
              <w:br/>
            </w:r>
          </w:p>
          <w:p w14:paraId="30E33053"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16C19D85"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b/>
                <w:bCs/>
                <w:color w:val="000000"/>
                <w:lang w:eastAsia="sv-SE"/>
              </w:rPr>
              <w:t>Övrigt </w:t>
            </w:r>
          </w:p>
          <w:p w14:paraId="1CC4C817"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lastRenderedPageBreak/>
              <w:t>Fondbolaget ansvarar för att informationen i Hållbarhetsprofilen är korrekt samt granskas och uppdateras minst en gång per år. För mer information om fondens hållbarhetsarbete, vänligen kontakta fondbolaget.</w:t>
            </w:r>
          </w:p>
          <w:p w14:paraId="443CECDA"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p w14:paraId="70574082" w14:textId="77777777" w:rsidR="000C5207" w:rsidRPr="000C5207" w:rsidRDefault="000C5207" w:rsidP="000C5207">
            <w:pPr>
              <w:spacing w:after="0" w:line="240" w:lineRule="auto"/>
              <w:ind w:left="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Länk till hemsidan:</w:t>
            </w:r>
          </w:p>
          <w:p w14:paraId="5E52A8D8" w14:textId="77777777" w:rsidR="000C5207" w:rsidRPr="000C5207" w:rsidRDefault="000C5207" w:rsidP="000C5207">
            <w:pPr>
              <w:spacing w:after="0" w:line="240" w:lineRule="auto"/>
              <w:ind w:firstLine="720"/>
              <w:rPr>
                <w:rFonts w:ascii="Times New Roman" w:eastAsia="Times New Roman" w:hAnsi="Times New Roman" w:cs="Times New Roman"/>
                <w:sz w:val="24"/>
                <w:szCs w:val="24"/>
                <w:lang w:eastAsia="sv-SE"/>
              </w:rPr>
            </w:pPr>
            <w:r w:rsidRPr="000C5207">
              <w:rPr>
                <w:rFonts w:ascii="Arial" w:eastAsia="Times New Roman" w:hAnsi="Arial" w:cs="Arial"/>
                <w:color w:val="000000"/>
                <w:lang w:eastAsia="sv-SE"/>
              </w:rPr>
              <w:t>Kontaktuppgifter: </w:t>
            </w:r>
          </w:p>
          <w:p w14:paraId="24245CC8" w14:textId="77777777" w:rsidR="000C5207" w:rsidRPr="000C5207" w:rsidRDefault="000C5207" w:rsidP="000C5207">
            <w:pPr>
              <w:spacing w:after="240" w:line="240" w:lineRule="auto"/>
              <w:rPr>
                <w:rFonts w:ascii="Times New Roman" w:eastAsia="Times New Roman" w:hAnsi="Times New Roman" w:cs="Times New Roman"/>
                <w:sz w:val="24"/>
                <w:szCs w:val="24"/>
                <w:lang w:eastAsia="sv-SE"/>
              </w:rPr>
            </w:pPr>
          </w:p>
          <w:p w14:paraId="6774A01B" w14:textId="77777777" w:rsidR="000C5207" w:rsidRPr="000C5207" w:rsidRDefault="000C5207" w:rsidP="00502942">
            <w:pPr>
              <w:spacing w:after="0" w:line="240" w:lineRule="auto"/>
              <w:ind w:firstLine="720"/>
              <w:rPr>
                <w:rFonts w:ascii="Times New Roman" w:eastAsia="Times New Roman" w:hAnsi="Times New Roman" w:cs="Times New Roman"/>
                <w:sz w:val="24"/>
                <w:szCs w:val="24"/>
                <w:lang w:eastAsia="sv-SE"/>
              </w:rPr>
            </w:pPr>
          </w:p>
        </w:tc>
      </w:tr>
      <w:tr w:rsidR="000C5207" w:rsidRPr="000C5207" w14:paraId="4552E857" w14:textId="77777777" w:rsidTr="000C52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560E4" w14:textId="77777777" w:rsidR="000C5207" w:rsidRPr="000C5207" w:rsidRDefault="000C5207" w:rsidP="000C5207">
            <w:pPr>
              <w:spacing w:after="0" w:line="240" w:lineRule="auto"/>
              <w:rPr>
                <w:rFonts w:ascii="Times New Roman" w:eastAsia="Times New Roman" w:hAnsi="Times New Roman" w:cs="Times New Roman"/>
                <w:sz w:val="24"/>
                <w:szCs w:val="24"/>
                <w:lang w:eastAsia="sv-SE"/>
              </w:rPr>
            </w:pPr>
          </w:p>
        </w:tc>
      </w:tr>
    </w:tbl>
    <w:p w14:paraId="28AC679B" w14:textId="77777777" w:rsidR="00940DEE" w:rsidRDefault="00940DEE"/>
    <w:sectPr w:rsidR="00940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7F8"/>
    <w:multiLevelType w:val="multilevel"/>
    <w:tmpl w:val="6E7E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040DD"/>
    <w:multiLevelType w:val="multilevel"/>
    <w:tmpl w:val="33DC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124F6"/>
    <w:multiLevelType w:val="multilevel"/>
    <w:tmpl w:val="6A7E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D4D4B"/>
    <w:multiLevelType w:val="multilevel"/>
    <w:tmpl w:val="1AF4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44C42"/>
    <w:multiLevelType w:val="multilevel"/>
    <w:tmpl w:val="A20A0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A50319"/>
    <w:multiLevelType w:val="multilevel"/>
    <w:tmpl w:val="30BA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D7642"/>
    <w:multiLevelType w:val="multilevel"/>
    <w:tmpl w:val="2B4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E87133"/>
    <w:multiLevelType w:val="multilevel"/>
    <w:tmpl w:val="19E6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076920"/>
    <w:multiLevelType w:val="multilevel"/>
    <w:tmpl w:val="69CC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A15745"/>
    <w:multiLevelType w:val="multilevel"/>
    <w:tmpl w:val="7CDA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4B505F"/>
    <w:multiLevelType w:val="multilevel"/>
    <w:tmpl w:val="052C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04242A"/>
    <w:multiLevelType w:val="multilevel"/>
    <w:tmpl w:val="51AA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A388A"/>
    <w:multiLevelType w:val="multilevel"/>
    <w:tmpl w:val="8B0E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8665EF"/>
    <w:multiLevelType w:val="multilevel"/>
    <w:tmpl w:val="97E4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2A115F"/>
    <w:multiLevelType w:val="multilevel"/>
    <w:tmpl w:val="1A22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882DE6"/>
    <w:multiLevelType w:val="multilevel"/>
    <w:tmpl w:val="1A50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6818B8"/>
    <w:multiLevelType w:val="multilevel"/>
    <w:tmpl w:val="181A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37078B"/>
    <w:multiLevelType w:val="multilevel"/>
    <w:tmpl w:val="113E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F47E22"/>
    <w:multiLevelType w:val="multilevel"/>
    <w:tmpl w:val="DC1CB3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D24DC0"/>
    <w:multiLevelType w:val="multilevel"/>
    <w:tmpl w:val="1ABE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028CD"/>
    <w:multiLevelType w:val="multilevel"/>
    <w:tmpl w:val="1268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076464"/>
    <w:multiLevelType w:val="multilevel"/>
    <w:tmpl w:val="19E6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EF2394"/>
    <w:multiLevelType w:val="multilevel"/>
    <w:tmpl w:val="3346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B257A3"/>
    <w:multiLevelType w:val="multilevel"/>
    <w:tmpl w:val="952E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8B5DC5"/>
    <w:multiLevelType w:val="multilevel"/>
    <w:tmpl w:val="0F2E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55731"/>
    <w:multiLevelType w:val="multilevel"/>
    <w:tmpl w:val="65A4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1F736E"/>
    <w:multiLevelType w:val="multilevel"/>
    <w:tmpl w:val="2BB0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535477"/>
    <w:multiLevelType w:val="multilevel"/>
    <w:tmpl w:val="21F6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28272E"/>
    <w:multiLevelType w:val="hybridMultilevel"/>
    <w:tmpl w:val="80D61C72"/>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29" w15:restartNumberingAfterBreak="0">
    <w:nsid w:val="5EE36255"/>
    <w:multiLevelType w:val="multilevel"/>
    <w:tmpl w:val="2D54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F76880"/>
    <w:multiLevelType w:val="multilevel"/>
    <w:tmpl w:val="AA20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1E4624"/>
    <w:multiLevelType w:val="multilevel"/>
    <w:tmpl w:val="34A4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03015F"/>
    <w:multiLevelType w:val="multilevel"/>
    <w:tmpl w:val="A9D0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982107"/>
    <w:multiLevelType w:val="multilevel"/>
    <w:tmpl w:val="64EA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85E0E"/>
    <w:multiLevelType w:val="multilevel"/>
    <w:tmpl w:val="3808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0F4ACF"/>
    <w:multiLevelType w:val="multilevel"/>
    <w:tmpl w:val="3B08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B666E8"/>
    <w:multiLevelType w:val="multilevel"/>
    <w:tmpl w:val="2250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F528FA"/>
    <w:multiLevelType w:val="multilevel"/>
    <w:tmpl w:val="7400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9F09F1"/>
    <w:multiLevelType w:val="multilevel"/>
    <w:tmpl w:val="0B84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3D1ADD"/>
    <w:multiLevelType w:val="multilevel"/>
    <w:tmpl w:val="75A0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4"/>
  </w:num>
  <w:num w:numId="4">
    <w:abstractNumId w:val="6"/>
  </w:num>
  <w:num w:numId="5">
    <w:abstractNumId w:val="9"/>
  </w:num>
  <w:num w:numId="6">
    <w:abstractNumId w:val="23"/>
  </w:num>
  <w:num w:numId="7">
    <w:abstractNumId w:val="19"/>
  </w:num>
  <w:num w:numId="8">
    <w:abstractNumId w:val="37"/>
  </w:num>
  <w:num w:numId="9">
    <w:abstractNumId w:val="21"/>
  </w:num>
  <w:num w:numId="10">
    <w:abstractNumId w:val="33"/>
  </w:num>
  <w:num w:numId="11">
    <w:abstractNumId w:val="29"/>
  </w:num>
  <w:num w:numId="12">
    <w:abstractNumId w:val="25"/>
  </w:num>
  <w:num w:numId="13">
    <w:abstractNumId w:val="20"/>
  </w:num>
  <w:num w:numId="14">
    <w:abstractNumId w:val="7"/>
  </w:num>
  <w:num w:numId="15">
    <w:abstractNumId w:val="30"/>
  </w:num>
  <w:num w:numId="16">
    <w:abstractNumId w:val="5"/>
  </w:num>
  <w:num w:numId="17">
    <w:abstractNumId w:val="10"/>
  </w:num>
  <w:num w:numId="18">
    <w:abstractNumId w:val="27"/>
  </w:num>
  <w:num w:numId="19">
    <w:abstractNumId w:val="32"/>
  </w:num>
  <w:num w:numId="20">
    <w:abstractNumId w:val="34"/>
  </w:num>
  <w:num w:numId="21">
    <w:abstractNumId w:val="18"/>
  </w:num>
  <w:num w:numId="22">
    <w:abstractNumId w:val="31"/>
  </w:num>
  <w:num w:numId="23">
    <w:abstractNumId w:val="8"/>
  </w:num>
  <w:num w:numId="24">
    <w:abstractNumId w:val="0"/>
  </w:num>
  <w:num w:numId="25">
    <w:abstractNumId w:val="17"/>
  </w:num>
  <w:num w:numId="26">
    <w:abstractNumId w:val="36"/>
  </w:num>
  <w:num w:numId="27">
    <w:abstractNumId w:val="39"/>
  </w:num>
  <w:num w:numId="28">
    <w:abstractNumId w:val="35"/>
  </w:num>
  <w:num w:numId="29">
    <w:abstractNumId w:val="26"/>
  </w:num>
  <w:num w:numId="30">
    <w:abstractNumId w:val="22"/>
  </w:num>
  <w:num w:numId="31">
    <w:abstractNumId w:val="24"/>
  </w:num>
  <w:num w:numId="32">
    <w:abstractNumId w:val="11"/>
  </w:num>
  <w:num w:numId="33">
    <w:abstractNumId w:val="1"/>
  </w:num>
  <w:num w:numId="34">
    <w:abstractNumId w:val="16"/>
  </w:num>
  <w:num w:numId="35">
    <w:abstractNumId w:val="15"/>
  </w:num>
  <w:num w:numId="36">
    <w:abstractNumId w:val="13"/>
  </w:num>
  <w:num w:numId="37">
    <w:abstractNumId w:val="3"/>
  </w:num>
  <w:num w:numId="38">
    <w:abstractNumId w:val="14"/>
  </w:num>
  <w:num w:numId="39">
    <w:abstractNumId w:val="3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07"/>
    <w:rsid w:val="00061C69"/>
    <w:rsid w:val="000B7C48"/>
    <w:rsid w:val="000C5207"/>
    <w:rsid w:val="000F754F"/>
    <w:rsid w:val="001405B6"/>
    <w:rsid w:val="00154988"/>
    <w:rsid w:val="00262123"/>
    <w:rsid w:val="002D7E0C"/>
    <w:rsid w:val="004220C4"/>
    <w:rsid w:val="00424E89"/>
    <w:rsid w:val="004F7055"/>
    <w:rsid w:val="00502942"/>
    <w:rsid w:val="0054549A"/>
    <w:rsid w:val="0057017B"/>
    <w:rsid w:val="007A3F5C"/>
    <w:rsid w:val="007F1E6E"/>
    <w:rsid w:val="0093328B"/>
    <w:rsid w:val="00937F65"/>
    <w:rsid w:val="00940DEE"/>
    <w:rsid w:val="00AB34BB"/>
    <w:rsid w:val="00AE1079"/>
    <w:rsid w:val="00B50C9D"/>
    <w:rsid w:val="00BB7F49"/>
    <w:rsid w:val="00C04CE9"/>
    <w:rsid w:val="00F233CD"/>
    <w:rsid w:val="00F90594"/>
    <w:rsid w:val="00FF20E2"/>
    <w:rsid w:val="00FF59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3471"/>
  <w15:chartTrackingRefBased/>
  <w15:docId w15:val="{DDB27705-A9E9-4773-B1F6-D9D5217A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20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DefaultParagraphFont"/>
    <w:rsid w:val="000C5207"/>
  </w:style>
  <w:style w:type="paragraph" w:styleId="ListParagraph">
    <w:name w:val="List Paragraph"/>
    <w:basedOn w:val="Normal"/>
    <w:uiPriority w:val="34"/>
    <w:qFormat/>
    <w:rsid w:val="00424E89"/>
    <w:pPr>
      <w:ind w:left="720"/>
      <w:contextualSpacing/>
    </w:pPr>
  </w:style>
  <w:style w:type="character" w:styleId="Hyperlink">
    <w:name w:val="Hyperlink"/>
    <w:basedOn w:val="DefaultParagraphFont"/>
    <w:uiPriority w:val="99"/>
    <w:unhideWhenUsed/>
    <w:rsid w:val="001405B6"/>
    <w:rPr>
      <w:color w:val="0563C1" w:themeColor="hyperlink"/>
      <w:u w:val="single"/>
    </w:rPr>
  </w:style>
  <w:style w:type="character" w:styleId="UnresolvedMention">
    <w:name w:val="Unresolved Mention"/>
    <w:basedOn w:val="DefaultParagraphFont"/>
    <w:uiPriority w:val="99"/>
    <w:semiHidden/>
    <w:unhideWhenUsed/>
    <w:rsid w:val="00140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6408">
      <w:bodyDiv w:val="1"/>
      <w:marLeft w:val="0"/>
      <w:marRight w:val="0"/>
      <w:marTop w:val="0"/>
      <w:marBottom w:val="0"/>
      <w:divBdr>
        <w:top w:val="none" w:sz="0" w:space="0" w:color="auto"/>
        <w:left w:val="none" w:sz="0" w:space="0" w:color="auto"/>
        <w:bottom w:val="none" w:sz="0" w:space="0" w:color="auto"/>
        <w:right w:val="none" w:sz="0" w:space="0" w:color="auto"/>
      </w:divBdr>
      <w:divsChild>
        <w:div w:id="233317517">
          <w:marLeft w:val="-108"/>
          <w:marRight w:val="0"/>
          <w:marTop w:val="0"/>
          <w:marBottom w:val="0"/>
          <w:divBdr>
            <w:top w:val="none" w:sz="0" w:space="0" w:color="auto"/>
            <w:left w:val="none" w:sz="0" w:space="0" w:color="auto"/>
            <w:bottom w:val="none" w:sz="0" w:space="0" w:color="auto"/>
            <w:right w:val="none" w:sz="0" w:space="0" w:color="auto"/>
          </w:divBdr>
        </w:div>
        <w:div w:id="1370836725">
          <w:marLeft w:val="-108"/>
          <w:marRight w:val="0"/>
          <w:marTop w:val="0"/>
          <w:marBottom w:val="0"/>
          <w:divBdr>
            <w:top w:val="none" w:sz="0" w:space="0" w:color="auto"/>
            <w:left w:val="none" w:sz="0" w:space="0" w:color="auto"/>
            <w:bottom w:val="none" w:sz="0" w:space="0" w:color="auto"/>
            <w:right w:val="none" w:sz="0" w:space="0" w:color="auto"/>
          </w:divBdr>
        </w:div>
        <w:div w:id="981733728">
          <w:marLeft w:val="-108"/>
          <w:marRight w:val="0"/>
          <w:marTop w:val="0"/>
          <w:marBottom w:val="0"/>
          <w:divBdr>
            <w:top w:val="none" w:sz="0" w:space="0" w:color="auto"/>
            <w:left w:val="none" w:sz="0" w:space="0" w:color="auto"/>
            <w:bottom w:val="none" w:sz="0" w:space="0" w:color="auto"/>
            <w:right w:val="none" w:sz="0" w:space="0" w:color="auto"/>
          </w:divBdr>
        </w:div>
        <w:div w:id="2011983656">
          <w:marLeft w:val="-108"/>
          <w:marRight w:val="0"/>
          <w:marTop w:val="0"/>
          <w:marBottom w:val="0"/>
          <w:divBdr>
            <w:top w:val="none" w:sz="0" w:space="0" w:color="auto"/>
            <w:left w:val="none" w:sz="0" w:space="0" w:color="auto"/>
            <w:bottom w:val="none" w:sz="0" w:space="0" w:color="auto"/>
            <w:right w:val="none" w:sz="0" w:space="0" w:color="auto"/>
          </w:divBdr>
        </w:div>
        <w:div w:id="177500950">
          <w:marLeft w:val="-108"/>
          <w:marRight w:val="0"/>
          <w:marTop w:val="0"/>
          <w:marBottom w:val="0"/>
          <w:divBdr>
            <w:top w:val="none" w:sz="0" w:space="0" w:color="auto"/>
            <w:left w:val="none" w:sz="0" w:space="0" w:color="auto"/>
            <w:bottom w:val="none" w:sz="0" w:space="0" w:color="auto"/>
            <w:right w:val="none" w:sz="0" w:space="0" w:color="auto"/>
          </w:divBdr>
        </w:div>
        <w:div w:id="1627809873">
          <w:marLeft w:val="-108"/>
          <w:marRight w:val="0"/>
          <w:marTop w:val="0"/>
          <w:marBottom w:val="0"/>
          <w:divBdr>
            <w:top w:val="none" w:sz="0" w:space="0" w:color="auto"/>
            <w:left w:val="none" w:sz="0" w:space="0" w:color="auto"/>
            <w:bottom w:val="none" w:sz="0" w:space="0" w:color="auto"/>
            <w:right w:val="none" w:sz="0" w:space="0" w:color="auto"/>
          </w:divBdr>
        </w:div>
        <w:div w:id="1227760162">
          <w:marLeft w:val="-108"/>
          <w:marRight w:val="0"/>
          <w:marTop w:val="0"/>
          <w:marBottom w:val="0"/>
          <w:divBdr>
            <w:top w:val="none" w:sz="0" w:space="0" w:color="auto"/>
            <w:left w:val="none" w:sz="0" w:space="0" w:color="auto"/>
            <w:bottom w:val="none" w:sz="0" w:space="0" w:color="auto"/>
            <w:right w:val="none" w:sz="0" w:space="0" w:color="auto"/>
          </w:divBdr>
        </w:div>
        <w:div w:id="41362764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rnegiefonder.se/om-oss/riskinformation/1554-2/"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1802</Words>
  <Characters>10278</Characters>
  <Application>Microsoft Office Word</Application>
  <DocSecurity>0</DocSecurity>
  <Lines>85</Lines>
  <Paragraphs>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Beckman</dc:creator>
  <cp:keywords/>
  <dc:description/>
  <cp:lastModifiedBy>Kim Hansson</cp:lastModifiedBy>
  <cp:revision>2</cp:revision>
  <dcterms:created xsi:type="dcterms:W3CDTF">2022-02-17T15:15:00Z</dcterms:created>
  <dcterms:modified xsi:type="dcterms:W3CDTF">2022-02-17T15:15:00Z</dcterms:modified>
</cp:coreProperties>
</file>